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87EF59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00A23FC3" w:rsidRPr="00A23FC3">
        <w:rPr>
          <w:bCs/>
          <w:noProof w:val="0"/>
          <w:sz w:val="24"/>
          <w:szCs w:val="24"/>
        </w:rPr>
        <w:t>R2-2101147</w:t>
      </w:r>
    </w:p>
    <w:p w14:paraId="11776FA6" w14:textId="6FE84855"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E106D" w:rsidRPr="00FE106D">
        <w:rPr>
          <w:bCs/>
          <w:sz w:val="24"/>
          <w:szCs w:val="24"/>
          <w:lang w:eastAsia="zh-CN"/>
        </w:rPr>
        <w:t>25 January – 05 February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5D77B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1DED">
        <w:rPr>
          <w:rFonts w:cs="Arial"/>
          <w:b/>
          <w:bCs/>
          <w:sz w:val="24"/>
          <w:lang w:eastAsia="ja-JP"/>
        </w:rPr>
        <w:t>8</w:t>
      </w:r>
      <w:r>
        <w:rPr>
          <w:rFonts w:cs="Arial"/>
          <w:b/>
          <w:bCs/>
          <w:sz w:val="24"/>
          <w:lang w:eastAsia="ja-JP"/>
        </w:rPr>
        <w:t>.</w:t>
      </w:r>
      <w:r w:rsidR="005B1DED">
        <w:rPr>
          <w:rFonts w:cs="Arial"/>
          <w:b/>
          <w:bCs/>
          <w:sz w:val="24"/>
          <w:lang w:eastAsia="ja-JP"/>
        </w:rPr>
        <w:t>6</w:t>
      </w:r>
      <w:r>
        <w:rPr>
          <w:rFonts w:cs="Arial"/>
          <w:b/>
          <w:bCs/>
          <w:sz w:val="24"/>
          <w:lang w:eastAsia="ja-JP"/>
        </w:rPr>
        <w:t>.</w:t>
      </w:r>
      <w:r w:rsidR="005B1DED">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063F13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015D" w:rsidRPr="008E015D">
        <w:rPr>
          <w:rFonts w:ascii="Arial" w:hAnsi="Arial" w:cs="Arial"/>
          <w:b/>
          <w:bCs/>
          <w:sz w:val="24"/>
        </w:rPr>
        <w:t>Aspects specific to CG based schemes</w:t>
      </w:r>
    </w:p>
    <w:p w14:paraId="1F147C23" w14:textId="78CED14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B1DED" w:rsidRPr="005B1DED">
        <w:rPr>
          <w:rFonts w:ascii="Arial" w:hAnsi="Arial" w:cs="Arial"/>
          <w:b/>
          <w:bCs/>
          <w:sz w:val="24"/>
        </w:rPr>
        <w:t>NR_SmallData_INACTIVE</w:t>
      </w:r>
      <w:proofErr w:type="spellEnd"/>
      <w:r w:rsidR="005B1DED" w:rsidRPr="005B1DED">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6E943B4" w14:textId="7D8E7477" w:rsidR="00A76DDC" w:rsidRDefault="00985440" w:rsidP="005B1DED">
      <w:r>
        <w:t>The following agreements were made in the previous meeting on CG</w:t>
      </w:r>
      <w:r w:rsidR="00407D33">
        <w:t xml:space="preserve"> </w:t>
      </w:r>
      <w:r w:rsidR="00407D33">
        <w:t>[1]</w:t>
      </w:r>
      <w:r>
        <w:t>:</w:t>
      </w:r>
    </w:p>
    <w:p w14:paraId="7FB39470" w14:textId="77777777" w:rsidR="00A76DDC" w:rsidRPr="00965383" w:rsidRDefault="00A76DDC" w:rsidP="00A76DDC">
      <w:pPr>
        <w:pStyle w:val="Doc-text2"/>
        <w:pBdr>
          <w:top w:val="single" w:sz="4" w:space="1" w:color="auto"/>
          <w:left w:val="single" w:sz="4" w:space="4" w:color="auto"/>
          <w:bottom w:val="single" w:sz="4" w:space="1" w:color="auto"/>
          <w:right w:val="single" w:sz="4" w:space="4" w:color="auto"/>
        </w:pBdr>
        <w:rPr>
          <w:b/>
          <w:bCs/>
        </w:rPr>
      </w:pPr>
      <w:r w:rsidRPr="00965383">
        <w:rPr>
          <w:b/>
          <w:bCs/>
        </w:rPr>
        <w:t>Agreements:</w:t>
      </w:r>
    </w:p>
    <w:p w14:paraId="27527F1B" w14:textId="77777777" w:rsidR="00A76DDC" w:rsidRDefault="00A76DDC" w:rsidP="00A76DDC">
      <w:pPr>
        <w:pStyle w:val="Doc-text2"/>
        <w:numPr>
          <w:ilvl w:val="0"/>
          <w:numId w:val="11"/>
        </w:numPr>
        <w:pBdr>
          <w:top w:val="single" w:sz="4" w:space="1" w:color="auto"/>
          <w:left w:val="single" w:sz="4" w:space="4" w:color="auto"/>
          <w:bottom w:val="single" w:sz="4" w:space="1" w:color="auto"/>
          <w:right w:val="single" w:sz="4" w:space="4" w:color="auto"/>
        </w:pBdr>
      </w:pPr>
      <w:r w:rsidRPr="00965383">
        <w:t xml:space="preserve">The configuration of configured grant resource for UE uplink small data transfer is contained in the </w:t>
      </w:r>
      <w:proofErr w:type="spellStart"/>
      <w:r w:rsidRPr="00965383">
        <w:t>RRCRelease</w:t>
      </w:r>
      <w:proofErr w:type="spellEnd"/>
      <w:r w:rsidRPr="00965383">
        <w:t xml:space="preserve"> message</w:t>
      </w:r>
      <w:r>
        <w:t xml:space="preserve">.  FFS if other dedicated messages can configure CG in INACTIVE CG. Configuration is only type 1 CG with no contention resolution procedure for CG. </w:t>
      </w:r>
    </w:p>
    <w:p w14:paraId="22E2F05F" w14:textId="77777777" w:rsidR="00A76DDC" w:rsidRDefault="00A76DDC" w:rsidP="00A76DDC">
      <w:pPr>
        <w:pStyle w:val="Doc-text2"/>
        <w:numPr>
          <w:ilvl w:val="0"/>
          <w:numId w:val="11"/>
        </w:numPr>
        <w:pBdr>
          <w:top w:val="single" w:sz="4" w:space="1" w:color="auto"/>
          <w:left w:val="single" w:sz="4" w:space="4" w:color="auto"/>
          <w:bottom w:val="single" w:sz="4" w:space="1" w:color="auto"/>
          <w:right w:val="single" w:sz="4" w:space="4" w:color="auto"/>
        </w:pBdr>
      </w:pPr>
      <w:r w:rsidRPr="00F67983">
        <w:t xml:space="preserve">The configuration of configured grant resource can include one type 1 CG configuration.  FFS if multiple configured </w:t>
      </w:r>
      <w:r>
        <w:t xml:space="preserve">CGs are </w:t>
      </w:r>
      <w:r w:rsidRPr="00F67983">
        <w:t>allowed</w:t>
      </w:r>
    </w:p>
    <w:p w14:paraId="772C43E0" w14:textId="77777777" w:rsidR="00A76DDC" w:rsidRDefault="00A76DDC" w:rsidP="00A76DDC">
      <w:pPr>
        <w:pStyle w:val="Doc-text2"/>
        <w:numPr>
          <w:ilvl w:val="0"/>
          <w:numId w:val="11"/>
        </w:numPr>
        <w:pBdr>
          <w:top w:val="single" w:sz="4" w:space="1" w:color="auto"/>
          <w:left w:val="single" w:sz="4" w:space="4" w:color="auto"/>
          <w:bottom w:val="single" w:sz="4" w:space="1" w:color="auto"/>
          <w:right w:val="single" w:sz="4" w:space="4" w:color="auto"/>
        </w:pBdr>
      </w:pPr>
      <w:r w:rsidRPr="007F35AC">
        <w:t>A new TA timer for TA maintenance specified for configured grant based small data transfer in RRC_INACTIVE should be introduced.</w:t>
      </w:r>
      <w:r>
        <w:t xml:space="preserve">  FFS on the procedure, the validity of TA, and how to handle expiration of TA timer.  The TA timer is configured together with the CG configuration in the </w:t>
      </w:r>
      <w:proofErr w:type="spellStart"/>
      <w:r>
        <w:t>RRCRelease</w:t>
      </w:r>
      <w:proofErr w:type="spellEnd"/>
      <w:r>
        <w:t xml:space="preserve"> message.</w:t>
      </w:r>
    </w:p>
    <w:p w14:paraId="7834E0A2" w14:textId="77777777" w:rsidR="00A76DDC" w:rsidRDefault="00A76DDC" w:rsidP="00A76DDC">
      <w:pPr>
        <w:pStyle w:val="Doc-text2"/>
        <w:numPr>
          <w:ilvl w:val="0"/>
          <w:numId w:val="11"/>
        </w:numPr>
        <w:pBdr>
          <w:top w:val="single" w:sz="4" w:space="1" w:color="auto"/>
          <w:left w:val="single" w:sz="4" w:space="4" w:color="auto"/>
          <w:bottom w:val="single" w:sz="4" w:space="1" w:color="auto"/>
          <w:right w:val="single" w:sz="4" w:space="4" w:color="auto"/>
        </w:pBdr>
      </w:pPr>
      <w:r w:rsidRPr="007F35AC">
        <w:t>The configuration of configured grant resource for UE small data transmission is valid only in the same serving cell</w:t>
      </w:r>
      <w:r>
        <w:t>.  FFS for other CG validity criteria (</w:t>
      </w:r>
      <w:proofErr w:type="gramStart"/>
      <w:r>
        <w:t>e.g.</w:t>
      </w:r>
      <w:proofErr w:type="gramEnd"/>
      <w:r>
        <w:t xml:space="preserve"> timer, UL/SUL aspect, etc)</w:t>
      </w:r>
    </w:p>
    <w:p w14:paraId="1F9A9539" w14:textId="77777777" w:rsidR="00A76DDC" w:rsidRDefault="00A76DDC" w:rsidP="00A76DDC">
      <w:pPr>
        <w:pStyle w:val="Doc-text2"/>
        <w:numPr>
          <w:ilvl w:val="0"/>
          <w:numId w:val="11"/>
        </w:numPr>
        <w:pBdr>
          <w:top w:val="single" w:sz="4" w:space="1" w:color="auto"/>
          <w:left w:val="single" w:sz="4" w:space="4" w:color="auto"/>
          <w:bottom w:val="single" w:sz="4" w:space="1" w:color="auto"/>
          <w:right w:val="single" w:sz="4" w:space="4" w:color="auto"/>
        </w:pBdr>
      </w:pPr>
      <w:r w:rsidRPr="007F35AC">
        <w:t xml:space="preserve">The UE </w:t>
      </w:r>
      <w:r>
        <w:t>can use</w:t>
      </w:r>
      <w:r w:rsidRPr="007F35AC">
        <w:t xml:space="preserve"> configured grant based small data transfer </w:t>
      </w:r>
      <w:r>
        <w:t xml:space="preserve">if </w:t>
      </w:r>
      <w:r w:rsidRPr="007F35AC">
        <w:t xml:space="preserve">at least </w:t>
      </w:r>
      <w:r>
        <w:t>the following criteria is fulfilled</w:t>
      </w:r>
      <w:r w:rsidRPr="007F35AC">
        <w:t xml:space="preserve"> (1) user data is smaller than the data volume threshold; (2) configured grant resource is configured</w:t>
      </w:r>
      <w:r>
        <w:t xml:space="preserve"> and valid</w:t>
      </w:r>
      <w:r w:rsidRPr="007F35AC">
        <w:t>; (3) UE has valid TA</w:t>
      </w:r>
      <w:r>
        <w:t xml:space="preserve">.  FFS for the candidate beam criteria.  </w:t>
      </w:r>
    </w:p>
    <w:p w14:paraId="085B749E" w14:textId="77777777" w:rsidR="00A76DDC" w:rsidRDefault="00A76DDC" w:rsidP="00A76DDC">
      <w:pPr>
        <w:pStyle w:val="Doc-text2"/>
        <w:numPr>
          <w:ilvl w:val="0"/>
          <w:numId w:val="11"/>
        </w:numPr>
        <w:pBdr>
          <w:top w:val="single" w:sz="4" w:space="1" w:color="auto"/>
          <w:left w:val="single" w:sz="4" w:space="4" w:color="auto"/>
          <w:bottom w:val="single" w:sz="4" w:space="1" w:color="auto"/>
          <w:right w:val="single" w:sz="4" w:space="4" w:color="auto"/>
        </w:pBdr>
      </w:pPr>
      <w:r w:rsidRPr="00EF6CEA">
        <w:t>From RAN2 point of view</w:t>
      </w:r>
      <w:r>
        <w:t>: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37957AC2" w14:textId="77777777" w:rsidR="00A76DDC" w:rsidRPr="00F67983" w:rsidRDefault="00A76DDC" w:rsidP="00A76DDC">
      <w:pPr>
        <w:pStyle w:val="Doc-text2"/>
        <w:numPr>
          <w:ilvl w:val="0"/>
          <w:numId w:val="11"/>
        </w:numPr>
        <w:pBdr>
          <w:top w:val="single" w:sz="4" w:space="1" w:color="auto"/>
          <w:left w:val="single" w:sz="4" w:space="4" w:color="auto"/>
          <w:bottom w:val="single" w:sz="4" w:space="1" w:color="auto"/>
          <w:right w:val="single" w:sz="4" w:space="4" w:color="auto"/>
        </w:pBdr>
      </w:pPr>
      <w:r>
        <w:t>A SS-RSRP threshold is configured for SSB selection. UE selects one of the SSB with SS-RSRP above the threshold and selects the associated CG resource for UL data transmission.</w:t>
      </w:r>
    </w:p>
    <w:p w14:paraId="64B7F15E" w14:textId="77777777" w:rsidR="00A76DDC" w:rsidRDefault="00A76DDC" w:rsidP="005B1DED"/>
    <w:p w14:paraId="0E0E94F2" w14:textId="6DF96999" w:rsidR="00985440" w:rsidRDefault="00B30897" w:rsidP="005B1DED">
      <w:r>
        <w:t>Further details have been discussed in the email discussion [</w:t>
      </w:r>
      <w:r w:rsidR="00407D33">
        <w:t>2</w:t>
      </w:r>
      <w:r>
        <w:t>]. In this contribution we discuss the open issues.</w:t>
      </w:r>
    </w:p>
    <w:p w14:paraId="6EBB9478" w14:textId="77777777" w:rsidR="005B1DED" w:rsidRDefault="005B1DED" w:rsidP="005B1DED"/>
    <w:p w14:paraId="4F547731" w14:textId="7C05C9F7" w:rsidR="00A209D6" w:rsidRDefault="00A209D6" w:rsidP="00B7538C">
      <w:pPr>
        <w:pStyle w:val="Heading1"/>
      </w:pPr>
      <w:r w:rsidRPr="006E13D1">
        <w:lastRenderedPageBreak/>
        <w:t>2</w:t>
      </w:r>
      <w:r w:rsidRPr="006E13D1">
        <w:tab/>
      </w:r>
      <w:r w:rsidR="005B1DED">
        <w:t>Discussion</w:t>
      </w:r>
    </w:p>
    <w:p w14:paraId="4484075C" w14:textId="69B29A3D" w:rsidR="003427AC" w:rsidRDefault="005B1DED" w:rsidP="003427AC">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bookmarkStart w:id="0" w:name="_Hlk47532824"/>
      <w:r w:rsidR="003427AC">
        <w:t>2.1</w:t>
      </w:r>
      <w:r w:rsidR="003427AC">
        <w:tab/>
        <w:t>Configuration of pre-configured PUSCH based SDT resources</w:t>
      </w:r>
    </w:p>
    <w:p w14:paraId="181B2DF7" w14:textId="3E2A0B82" w:rsidR="003427AC" w:rsidRPr="0034557A" w:rsidRDefault="003427AC" w:rsidP="003427AC">
      <w:pPr>
        <w:pStyle w:val="Heading2"/>
        <w:rPr>
          <w:sz w:val="28"/>
          <w:szCs w:val="18"/>
        </w:rPr>
      </w:pPr>
      <w:r w:rsidRPr="0034557A">
        <w:rPr>
          <w:sz w:val="28"/>
          <w:szCs w:val="18"/>
        </w:rPr>
        <w:t>2.</w:t>
      </w:r>
      <w:r>
        <w:rPr>
          <w:sz w:val="28"/>
          <w:szCs w:val="18"/>
        </w:rPr>
        <w:t>1</w:t>
      </w:r>
      <w:r w:rsidRPr="0034557A">
        <w:rPr>
          <w:sz w:val="28"/>
          <w:szCs w:val="18"/>
        </w:rPr>
        <w:t>.1</w:t>
      </w:r>
      <w:r w:rsidRPr="0034557A">
        <w:rPr>
          <w:sz w:val="28"/>
          <w:szCs w:val="18"/>
        </w:rPr>
        <w:tab/>
        <w:t>Procedure to configure pre-configured PUSCH based SDT resources</w:t>
      </w:r>
    </w:p>
    <w:p w14:paraId="65BF1287" w14:textId="011ABCE5" w:rsidR="003427AC" w:rsidRDefault="003427AC" w:rsidP="003427AC">
      <w:pPr>
        <w:jc w:val="both"/>
      </w:pPr>
      <w:r>
        <w:t xml:space="preserve">In the PUR design, the UE </w:t>
      </w:r>
      <w:r w:rsidRPr="006B5229">
        <w:t xml:space="preserve">may request to be configured with a PUR or to have a PUR configuration released while in RRC_CONNECTED mode. The </w:t>
      </w:r>
      <w:r>
        <w:t>Network can then d</w:t>
      </w:r>
      <w:r w:rsidRPr="006B5229">
        <w:t>ecide to configure a PUR that may be based on</w:t>
      </w:r>
      <w:r>
        <w:t xml:space="preserve"> the</w:t>
      </w:r>
      <w:r w:rsidRPr="006B5229">
        <w:t xml:space="preserve"> UE's request, </w:t>
      </w:r>
      <w:r>
        <w:t xml:space="preserve">the </w:t>
      </w:r>
      <w:r w:rsidRPr="006B5229">
        <w:t>UE's subscription information and/or local policy</w:t>
      </w:r>
      <w:r>
        <w:t xml:space="preserve"> [2]</w:t>
      </w:r>
      <w:r w:rsidRPr="006B5229">
        <w:t>.</w:t>
      </w:r>
    </w:p>
    <w:p w14:paraId="6E36AEEA" w14:textId="77777777" w:rsidR="003427AC" w:rsidRDefault="003427AC" w:rsidP="003427AC">
      <w:pPr>
        <w:jc w:val="both"/>
      </w:pPr>
      <w:r>
        <w:t>In pre-configured PUSCH based SDT, the same approach for the UE requesting the pre-configured PUSCH based SDT configuration and the Network providing a dedicated configuration can be followed. Although, the contents of the UE request should be revisited to match the design of the pre-configured PUSCH based SDT.</w:t>
      </w:r>
    </w:p>
    <w:p w14:paraId="42E13A19" w14:textId="03D406DB" w:rsidR="003427AC" w:rsidRPr="00E93A54" w:rsidRDefault="003427AC" w:rsidP="003427AC">
      <w:pPr>
        <w:jc w:val="both"/>
        <w:rPr>
          <w:b/>
          <w:bCs/>
        </w:rPr>
      </w:pPr>
      <w:r w:rsidRPr="00E93A54">
        <w:rPr>
          <w:b/>
          <w:bCs/>
        </w:rPr>
        <w:t xml:space="preserve">Proposal </w:t>
      </w:r>
      <w:r w:rsidR="0000520C">
        <w:rPr>
          <w:b/>
          <w:bCs/>
        </w:rPr>
        <w:t>1</w:t>
      </w:r>
      <w:r w:rsidRPr="00E93A54">
        <w:rPr>
          <w:b/>
          <w:bCs/>
        </w:rPr>
        <w:t xml:space="preserve">: The UE should be allowed to request to the </w:t>
      </w:r>
      <w:r>
        <w:rPr>
          <w:b/>
          <w:bCs/>
        </w:rPr>
        <w:t>Network</w:t>
      </w:r>
      <w:r w:rsidRPr="00E93A54">
        <w:rPr>
          <w:b/>
          <w:bCs/>
        </w:rPr>
        <w:t xml:space="preserve"> for a pre-configured PUSCH based SDT resource</w:t>
      </w:r>
      <w:r>
        <w:rPr>
          <w:b/>
          <w:bCs/>
        </w:rPr>
        <w:t>/configuration.</w:t>
      </w:r>
    </w:p>
    <w:p w14:paraId="557EAAEC" w14:textId="77777777" w:rsidR="003427AC" w:rsidRDefault="003427AC" w:rsidP="003427AC">
      <w:pPr>
        <w:jc w:val="both"/>
      </w:pPr>
      <w:r>
        <w:t>In some use cases the UE might have preferences for specific time occasions where the pre-configured PUSCH resources should occur. This can be due to the traffic characteristics of the application requiring SDT (</w:t>
      </w:r>
      <w:proofErr w:type="gramStart"/>
      <w:r>
        <w:t>e.g.</w:t>
      </w:r>
      <w:proofErr w:type="gramEnd"/>
      <w:r>
        <w:t xml:space="preserve"> an application where the traffic is generated every x seconds) or it can be due to the type of UE (e.g. a Multi-USIM device, where due to the activity of the different USIMs certain time periods are not suitable for pre-configured PUSCH based SDT). As such, the UE should be able to indicate to the network these preferences.</w:t>
      </w:r>
    </w:p>
    <w:p w14:paraId="776FF167" w14:textId="7817BA39" w:rsidR="003427AC" w:rsidRPr="00A56F55" w:rsidRDefault="003427AC" w:rsidP="003427AC">
      <w:pPr>
        <w:jc w:val="both"/>
        <w:rPr>
          <w:b/>
          <w:bCs/>
        </w:rPr>
      </w:pPr>
      <w:r w:rsidRPr="00A56F55">
        <w:rPr>
          <w:b/>
          <w:bCs/>
        </w:rPr>
        <w:t xml:space="preserve">Proposal </w:t>
      </w:r>
      <w:r w:rsidR="00775A5A">
        <w:rPr>
          <w:b/>
          <w:bCs/>
        </w:rPr>
        <w:t>2</w:t>
      </w:r>
      <w:r w:rsidRPr="00A56F55">
        <w:rPr>
          <w:b/>
          <w:bCs/>
        </w:rPr>
        <w:t xml:space="preserve">: </w:t>
      </w:r>
      <w:r>
        <w:rPr>
          <w:b/>
          <w:bCs/>
        </w:rPr>
        <w:t xml:space="preserve">Specify </w:t>
      </w:r>
      <w:r w:rsidRPr="00A56F55">
        <w:rPr>
          <w:b/>
          <w:bCs/>
        </w:rPr>
        <w:t>signalling mechanisms that allow the UE to indicate to the Network its preferences in regard to the time occurrence of pre-configured PUSCH based SDT.</w:t>
      </w:r>
    </w:p>
    <w:p w14:paraId="6D1FFB23" w14:textId="77777777" w:rsidR="0095369B" w:rsidRDefault="0095369B" w:rsidP="0095369B">
      <w:pPr>
        <w:jc w:val="both"/>
      </w:pPr>
      <w:r>
        <w:t>In RAN2#112 the following agreement was made:</w:t>
      </w:r>
    </w:p>
    <w:tbl>
      <w:tblPr>
        <w:tblStyle w:val="TableGrid"/>
        <w:tblW w:w="0" w:type="auto"/>
        <w:tblLook w:val="04A0" w:firstRow="1" w:lastRow="0" w:firstColumn="1" w:lastColumn="0" w:noHBand="0" w:noVBand="1"/>
      </w:tblPr>
      <w:tblGrid>
        <w:gridCol w:w="9631"/>
      </w:tblGrid>
      <w:tr w:rsidR="0095369B" w14:paraId="32B52178" w14:textId="77777777" w:rsidTr="00653B68">
        <w:tc>
          <w:tcPr>
            <w:tcW w:w="9631" w:type="dxa"/>
          </w:tcPr>
          <w:p w14:paraId="7EF25BB5" w14:textId="019E5529" w:rsidR="0095369B" w:rsidRPr="00C36C6A" w:rsidRDefault="00C36C6A" w:rsidP="00653B68">
            <w:pPr>
              <w:jc w:val="both"/>
              <w:rPr>
                <w:lang w:val="en-US"/>
              </w:rPr>
            </w:pPr>
            <w:r w:rsidRPr="00FD2452">
              <w:rPr>
                <w:rFonts w:ascii="Arial" w:hAnsi="Arial" w:cs="Arial"/>
                <w:lang w:val="en-US"/>
              </w:rPr>
              <w:t xml:space="preserve">1        The configuration of configured grant resource for UE uplink small data transfer is contained in the </w:t>
            </w:r>
            <w:proofErr w:type="spellStart"/>
            <w:r w:rsidRPr="00FD2452">
              <w:rPr>
                <w:rFonts w:ascii="Arial" w:hAnsi="Arial" w:cs="Arial"/>
                <w:lang w:val="en-US"/>
              </w:rPr>
              <w:t>RRCRelease</w:t>
            </w:r>
            <w:proofErr w:type="spellEnd"/>
            <w:r w:rsidRPr="00FD2452">
              <w:rPr>
                <w:rFonts w:ascii="Arial" w:hAnsi="Arial" w:cs="Arial"/>
                <w:lang w:val="en-US"/>
              </w:rPr>
              <w:t xml:space="preserve"> message.  FFS if other dedicated messages can configure CG in INACTIVE CG. Configuration is only type 1 CG with no contention resolution procedure for CG.</w:t>
            </w:r>
          </w:p>
        </w:tc>
      </w:tr>
    </w:tbl>
    <w:p w14:paraId="34C3D547" w14:textId="77777777" w:rsidR="0095369B" w:rsidRDefault="0095369B" w:rsidP="003427AC">
      <w:pPr>
        <w:jc w:val="both"/>
      </w:pPr>
    </w:p>
    <w:p w14:paraId="1C8CFC2C" w14:textId="1BD42609" w:rsidR="003427AC" w:rsidRDefault="003427AC" w:rsidP="003427AC">
      <w:pPr>
        <w:jc w:val="both"/>
      </w:pPr>
      <w:r>
        <w:t xml:space="preserve">The network can indicate to the UE the pre-configured PUSCH based SDT resources via dedicated signalling such as part of the RRC Release (as in PUR). Alternatively, the pre-configured PUSCH based SDT resources configuration or part of it could also be part of broadcast signalling. The main advantage of introducing broadcasted signalling would be to minimize the signalling overhead associated to a change of configuration that would be common to a group of UEs, </w:t>
      </w:r>
      <w:proofErr w:type="gramStart"/>
      <w:r>
        <w:t>e.g.</w:t>
      </w:r>
      <w:proofErr w:type="gramEnd"/>
      <w:r>
        <w:t xml:space="preserve"> to suspend (part of) the configurations for the UEs when the cell is loaded.</w:t>
      </w:r>
    </w:p>
    <w:p w14:paraId="67B2F248" w14:textId="41502587" w:rsidR="003427AC" w:rsidRDefault="003427AC" w:rsidP="003427AC">
      <w:pPr>
        <w:jc w:val="both"/>
        <w:rPr>
          <w:b/>
          <w:bCs/>
        </w:rPr>
      </w:pPr>
      <w:r w:rsidRPr="00E93A54">
        <w:rPr>
          <w:b/>
          <w:bCs/>
        </w:rPr>
        <w:t xml:space="preserve">Proposal </w:t>
      </w:r>
      <w:r w:rsidR="00775A5A">
        <w:rPr>
          <w:b/>
          <w:bCs/>
        </w:rPr>
        <w:t>3</w:t>
      </w:r>
      <w:r w:rsidRPr="00E93A54">
        <w:rPr>
          <w:b/>
          <w:bCs/>
        </w:rPr>
        <w:t xml:space="preserve">: </w:t>
      </w:r>
      <w:r>
        <w:rPr>
          <w:b/>
          <w:bCs/>
        </w:rPr>
        <w:t xml:space="preserve">It should be possible to indicate or reconfigure </w:t>
      </w:r>
      <w:r w:rsidRPr="00E93A54">
        <w:rPr>
          <w:b/>
          <w:bCs/>
        </w:rPr>
        <w:t xml:space="preserve">the pre-configured PUSCH based SDT resource configuration </w:t>
      </w:r>
      <w:r>
        <w:rPr>
          <w:b/>
          <w:bCs/>
        </w:rPr>
        <w:t>with both,</w:t>
      </w:r>
      <w:r w:rsidRPr="00E93A54">
        <w:rPr>
          <w:b/>
          <w:bCs/>
        </w:rPr>
        <w:t xml:space="preserve"> dedicated and broadcast signalling. </w:t>
      </w:r>
    </w:p>
    <w:p w14:paraId="5705AD3D" w14:textId="77777777" w:rsidR="003427AC" w:rsidRDefault="003427AC" w:rsidP="003427AC">
      <w:pPr>
        <w:jc w:val="both"/>
      </w:pPr>
      <w:r>
        <w:t>In case of increased load in a cell or TRP, the affected cell or TRP might need to release/suspend the usage of the pre-configured PUSCH resources for all the UEs under the cell/TRP or for a specific group of UEs at once. This is to allow NW to take in use the pre-allocated resources when it has more UEs to serve, e.g., in CONNECTED mode. However, paging the UE and bringing it to CONNECTED mode to provide the UE with reconfiguration seems an overkill solution for this – this will just contribute on the increased load even more.</w:t>
      </w:r>
    </w:p>
    <w:p w14:paraId="5421D631" w14:textId="3ABC7998" w:rsidR="003427AC" w:rsidRDefault="003427AC" w:rsidP="003427AC">
      <w:pPr>
        <w:rPr>
          <w:b/>
          <w:bCs/>
        </w:rPr>
      </w:pPr>
      <w:r w:rsidRPr="00346C4B">
        <w:rPr>
          <w:b/>
          <w:bCs/>
        </w:rPr>
        <w:t xml:space="preserve">Proposal </w:t>
      </w:r>
      <w:r w:rsidR="00775A5A">
        <w:rPr>
          <w:b/>
          <w:bCs/>
        </w:rPr>
        <w:t>4</w:t>
      </w:r>
      <w:r w:rsidRPr="00346C4B">
        <w:rPr>
          <w:b/>
          <w:bCs/>
        </w:rPr>
        <w:t xml:space="preserve">: </w:t>
      </w:r>
      <w:r>
        <w:rPr>
          <w:b/>
          <w:bCs/>
        </w:rPr>
        <w:t xml:space="preserve">It should be possible for the NW </w:t>
      </w:r>
      <w:r w:rsidRPr="00346C4B">
        <w:rPr>
          <w:b/>
          <w:bCs/>
        </w:rPr>
        <w:t>to release</w:t>
      </w:r>
      <w:r>
        <w:rPr>
          <w:b/>
          <w:bCs/>
        </w:rPr>
        <w:t>/suspend the usage</w:t>
      </w:r>
      <w:r w:rsidRPr="00346C4B">
        <w:rPr>
          <w:b/>
          <w:bCs/>
        </w:rPr>
        <w:t xml:space="preserve"> of pre-configured PUSCH resources </w:t>
      </w:r>
      <w:r>
        <w:rPr>
          <w:b/>
          <w:bCs/>
        </w:rPr>
        <w:t>efficiently</w:t>
      </w:r>
      <w:r w:rsidRPr="00346C4B">
        <w:rPr>
          <w:b/>
          <w:bCs/>
        </w:rPr>
        <w:t>.</w:t>
      </w:r>
    </w:p>
    <w:p w14:paraId="7A9AE3FB" w14:textId="759D9BD1" w:rsidR="00FA33D8" w:rsidRPr="00FA33D8" w:rsidRDefault="00FA33D8" w:rsidP="00FA33D8">
      <w:pPr>
        <w:pStyle w:val="Heading2"/>
        <w:rPr>
          <w:sz w:val="28"/>
          <w:szCs w:val="18"/>
        </w:rPr>
      </w:pPr>
      <w:r w:rsidRPr="00FA33D8">
        <w:rPr>
          <w:sz w:val="28"/>
          <w:szCs w:val="18"/>
        </w:rPr>
        <w:t>2.1.2</w:t>
      </w:r>
      <w:r>
        <w:rPr>
          <w:sz w:val="28"/>
          <w:szCs w:val="18"/>
        </w:rPr>
        <w:tab/>
      </w:r>
      <w:r w:rsidR="00AF533E">
        <w:rPr>
          <w:sz w:val="28"/>
          <w:szCs w:val="18"/>
        </w:rPr>
        <w:t xml:space="preserve">On association between </w:t>
      </w:r>
      <w:r w:rsidR="00AF533E" w:rsidRPr="0034557A">
        <w:rPr>
          <w:sz w:val="28"/>
          <w:szCs w:val="18"/>
        </w:rPr>
        <w:t>pre-configured PUSCH</w:t>
      </w:r>
      <w:r w:rsidR="00AF533E">
        <w:rPr>
          <w:sz w:val="28"/>
          <w:szCs w:val="18"/>
        </w:rPr>
        <w:t xml:space="preserve"> and SSB(s)</w:t>
      </w:r>
    </w:p>
    <w:p w14:paraId="0DE5A7AD" w14:textId="44249C93" w:rsidR="00FA33D8" w:rsidRPr="00C36C6A" w:rsidRDefault="006C68AA" w:rsidP="00C36C6A">
      <w:pPr>
        <w:jc w:val="both"/>
      </w:pPr>
      <w:r w:rsidRPr="00C36C6A">
        <w:t>In RAN2#112, the following agreement was made:</w:t>
      </w:r>
    </w:p>
    <w:tbl>
      <w:tblPr>
        <w:tblStyle w:val="TableGrid"/>
        <w:tblW w:w="0" w:type="auto"/>
        <w:tblLook w:val="04A0" w:firstRow="1" w:lastRow="0" w:firstColumn="1" w:lastColumn="0" w:noHBand="0" w:noVBand="1"/>
      </w:tblPr>
      <w:tblGrid>
        <w:gridCol w:w="9631"/>
      </w:tblGrid>
      <w:tr w:rsidR="006C68AA" w14:paraId="44FD6A01" w14:textId="77777777" w:rsidTr="006C68AA">
        <w:tc>
          <w:tcPr>
            <w:tcW w:w="9631" w:type="dxa"/>
          </w:tcPr>
          <w:p w14:paraId="3BD0669D" w14:textId="2CC41215" w:rsidR="006C68AA" w:rsidRPr="006C68AA" w:rsidRDefault="006C68AA" w:rsidP="003427AC">
            <w:pPr>
              <w:rPr>
                <w:b/>
                <w:bCs/>
                <w:lang w:val="en-US"/>
              </w:rPr>
            </w:pPr>
            <w:r w:rsidRPr="00FD2452">
              <w:rPr>
                <w:rFonts w:ascii="Arial" w:hAnsi="Arial" w:cs="Arial"/>
                <w:lang w:val="en-US"/>
              </w:rPr>
              <w:t xml:space="preserve">6        From RAN2 point of view:  An association between CG resources and SSBs is required for CG-based SDT.  FFS up to RAN1 how the association is configured or provided to the UE.  </w:t>
            </w:r>
            <w:r w:rsidRPr="006C68AA">
              <w:rPr>
                <w:rFonts w:ascii="Arial" w:hAnsi="Arial" w:cs="Arial"/>
                <w:sz w:val="22"/>
                <w:szCs w:val="22"/>
                <w:lang w:val="en-US"/>
              </w:rPr>
              <w:t xml:space="preserve">Send an LS to </w:t>
            </w:r>
            <w:r w:rsidRPr="00FD2452">
              <w:rPr>
                <w:rFonts w:ascii="Arial" w:hAnsi="Arial" w:cs="Arial"/>
                <w:lang w:val="en-US"/>
              </w:rPr>
              <w:lastRenderedPageBreak/>
              <w:t>RAN1 to start the discussion on how the association can be made.   Mention that one option RAN2 considered was explicit configuration with RRC Release message</w:t>
            </w:r>
          </w:p>
        </w:tc>
      </w:tr>
    </w:tbl>
    <w:p w14:paraId="0CA07D0E" w14:textId="18D707D7" w:rsidR="00DA1B52" w:rsidRDefault="007810D7" w:rsidP="00CE471A">
      <w:pPr>
        <w:spacing w:before="240"/>
        <w:jc w:val="both"/>
      </w:pPr>
      <w:r>
        <w:lastRenderedPageBreak/>
        <w:t xml:space="preserve">In legacy, </w:t>
      </w:r>
      <w:r w:rsidRPr="007810D7">
        <w:t xml:space="preserve">CG is only configured for CONNECTED mode and there is no beam association needed since CG is valid for whichever serving beam according to beam management in CONNECTED mode the UE is configured to transmit. For UEs in INACTIVE mode, </w:t>
      </w:r>
      <w:r w:rsidR="00185920">
        <w:t xml:space="preserve">if the CG is valid for one beam </w:t>
      </w:r>
      <w:proofErr w:type="gramStart"/>
      <w:r w:rsidR="00185920">
        <w:t>e.g.</w:t>
      </w:r>
      <w:proofErr w:type="gramEnd"/>
      <w:r w:rsidR="00185920">
        <w:t xml:space="preserve"> the beam when the UE moves to INACT</w:t>
      </w:r>
      <w:r w:rsidR="01B7056D">
        <w:t>I</w:t>
      </w:r>
      <w:r w:rsidR="00185920">
        <w:t>VE mode, it might be likely not</w:t>
      </w:r>
      <w:r w:rsidR="00A8368A">
        <w:t xml:space="preserve"> be</w:t>
      </w:r>
      <w:r w:rsidR="00185920">
        <w:t xml:space="preserve"> usable when the UE moves</w:t>
      </w:r>
      <w:r w:rsidR="00DA1B52">
        <w:t xml:space="preserve"> and the configured resources are wasted. </w:t>
      </w:r>
      <w:r w:rsidR="00A8368A">
        <w:t>In our view, i</w:t>
      </w:r>
      <w:r w:rsidR="00DA1B52">
        <w:t xml:space="preserve">t should be possible to map </w:t>
      </w:r>
      <w:r w:rsidR="4C92AE43">
        <w:t xml:space="preserve">a </w:t>
      </w:r>
      <w:r w:rsidR="00DA1B52">
        <w:t xml:space="preserve">CG to multiple beams to allow some </w:t>
      </w:r>
      <w:r w:rsidR="00A8368A">
        <w:t xml:space="preserve">level of </w:t>
      </w:r>
      <w:r w:rsidR="00DA1B52">
        <w:t xml:space="preserve">mobility. </w:t>
      </w:r>
      <w:r w:rsidR="00A8368A">
        <w:t>I</w:t>
      </w:r>
      <w:r w:rsidR="00A8368A" w:rsidRPr="00A8368A">
        <w:t>t is up to gNB implementation how many SSBs it wants to configure as valid for CG-SDT</w:t>
      </w:r>
      <w:r w:rsidR="00A8368A">
        <w:t>. It does not necessarily need to cover all the SSBs like RACH.</w:t>
      </w:r>
    </w:p>
    <w:p w14:paraId="56C3A8DF" w14:textId="0C547191" w:rsidR="00E35E0D" w:rsidRPr="00B16448" w:rsidRDefault="00E35E0D" w:rsidP="00CE471A">
      <w:pPr>
        <w:spacing w:before="240"/>
        <w:jc w:val="both"/>
      </w:pPr>
      <w:r w:rsidRPr="00E2169B">
        <w:rPr>
          <w:b/>
          <w:bCs/>
        </w:rPr>
        <w:t xml:space="preserve">Proposal </w:t>
      </w:r>
      <w:r w:rsidR="00775A5A">
        <w:rPr>
          <w:b/>
          <w:bCs/>
        </w:rPr>
        <w:t>5</w:t>
      </w:r>
      <w:r w:rsidRPr="00E2169B">
        <w:rPr>
          <w:b/>
          <w:bCs/>
        </w:rPr>
        <w:t xml:space="preserve">: </w:t>
      </w:r>
      <w:r w:rsidR="00B16448">
        <w:rPr>
          <w:b/>
          <w:bCs/>
        </w:rPr>
        <w:t xml:space="preserve">It should be possible to configure multiple SSBs </w:t>
      </w:r>
      <w:r w:rsidR="00943C86">
        <w:rPr>
          <w:b/>
          <w:bCs/>
        </w:rPr>
        <w:t xml:space="preserve">associated </w:t>
      </w:r>
      <w:r w:rsidR="00B16448">
        <w:rPr>
          <w:b/>
          <w:bCs/>
        </w:rPr>
        <w:t xml:space="preserve">to a CG </w:t>
      </w:r>
      <w:r w:rsidR="006F67AE">
        <w:rPr>
          <w:b/>
          <w:bCs/>
        </w:rPr>
        <w:t>configuration.</w:t>
      </w:r>
    </w:p>
    <w:p w14:paraId="413FE35C" w14:textId="1E956C78" w:rsidR="007810D7" w:rsidRDefault="00403D42" w:rsidP="00CE471A">
      <w:pPr>
        <w:spacing w:before="240"/>
        <w:jc w:val="both"/>
      </w:pPr>
      <w:r>
        <w:t>Since</w:t>
      </w:r>
      <w:r w:rsidR="00DA1B52">
        <w:t xml:space="preserve"> </w:t>
      </w:r>
      <w:r w:rsidR="007810D7" w:rsidRPr="007810D7">
        <w:t>there is no beam management</w:t>
      </w:r>
      <w:r w:rsidR="00A8368A">
        <w:t xml:space="preserve">, </w:t>
      </w:r>
      <w:r w:rsidR="007810D7" w:rsidRPr="007810D7">
        <w:t>the NW does not know from which beam to receive UL transmission on CG</w:t>
      </w:r>
      <w:r>
        <w:t>,</w:t>
      </w:r>
      <w:r w:rsidR="00185920">
        <w:t xml:space="preserve"> </w:t>
      </w:r>
      <w:r>
        <w:t>b</w:t>
      </w:r>
      <w:r w:rsidR="007810D7" w:rsidRPr="007810D7">
        <w:t>eam (SSB) to CG mapping is needed to make sure the NW can receive the UL transmission properly</w:t>
      </w:r>
      <w:r w:rsidR="00B3084A">
        <w:t>, which could be done similarly to PRACH to SSB mapping in TDM manner</w:t>
      </w:r>
      <w:r w:rsidR="007810D7" w:rsidRPr="007810D7">
        <w:t xml:space="preserve">. </w:t>
      </w:r>
      <w:r w:rsidR="006146C4">
        <w:t xml:space="preserve">An LS has been sent to RAN1 in the previous meeting, </w:t>
      </w:r>
      <w:r w:rsidR="00903517">
        <w:t>from RAN2 point of view, we need to discuss it as well since the beam validation and CG occasion selection is to be specified in RAN2.</w:t>
      </w:r>
    </w:p>
    <w:p w14:paraId="60DD71C8" w14:textId="0A00F019" w:rsidR="004509DD" w:rsidRDefault="00CE471A" w:rsidP="00CE471A">
      <w:pPr>
        <w:spacing w:before="240"/>
        <w:jc w:val="both"/>
      </w:pPr>
      <w:r w:rsidRPr="00CE471A">
        <w:t>The CG-PUSCH relation to SSB allows the gNB to know from the CG-PUSCH resources the direction the UE’s PUSCH transmission can be expected from, assuming that the UE can guarantee SSB-to-PUSCH beam correspondence in RRC_INACTIVE.</w:t>
      </w:r>
    </w:p>
    <w:p w14:paraId="0A305DED" w14:textId="2B8A756D" w:rsidR="00EC470F" w:rsidRPr="00E2169B" w:rsidRDefault="00EC470F" w:rsidP="00CE471A">
      <w:pPr>
        <w:spacing w:before="240"/>
        <w:jc w:val="both"/>
        <w:rPr>
          <w:b/>
          <w:bCs/>
        </w:rPr>
      </w:pPr>
      <w:r w:rsidRPr="00E2169B">
        <w:rPr>
          <w:b/>
          <w:bCs/>
        </w:rPr>
        <w:t xml:space="preserve">Proposal </w:t>
      </w:r>
      <w:r w:rsidR="00775A5A">
        <w:rPr>
          <w:b/>
          <w:bCs/>
        </w:rPr>
        <w:t>6</w:t>
      </w:r>
      <w:r w:rsidRPr="00E2169B">
        <w:rPr>
          <w:b/>
          <w:bCs/>
        </w:rPr>
        <w:t xml:space="preserve">: </w:t>
      </w:r>
      <w:r w:rsidR="009D681D">
        <w:rPr>
          <w:b/>
          <w:bCs/>
        </w:rPr>
        <w:t xml:space="preserve">Different CG occasions in a CG </w:t>
      </w:r>
      <w:r w:rsidR="00DA0353">
        <w:rPr>
          <w:b/>
          <w:bCs/>
        </w:rPr>
        <w:t>configuration</w:t>
      </w:r>
      <w:r w:rsidR="009D681D">
        <w:rPr>
          <w:b/>
          <w:bCs/>
        </w:rPr>
        <w:t xml:space="preserve"> </w:t>
      </w:r>
      <w:r w:rsidR="00943C86">
        <w:rPr>
          <w:b/>
          <w:bCs/>
        </w:rPr>
        <w:t>are</w:t>
      </w:r>
      <w:r w:rsidR="009D681D">
        <w:rPr>
          <w:b/>
          <w:bCs/>
        </w:rPr>
        <w:t xml:space="preserve"> mapped to different SSBs</w:t>
      </w:r>
      <w:r w:rsidR="00E2169B" w:rsidRPr="00E2169B">
        <w:rPr>
          <w:b/>
          <w:bCs/>
        </w:rPr>
        <w:t>.</w:t>
      </w:r>
    </w:p>
    <w:bookmarkEnd w:id="0"/>
    <w:p w14:paraId="5F01C058" w14:textId="4F714EA6" w:rsidR="00A209D6" w:rsidRPr="006E13D1" w:rsidRDefault="00B7538C" w:rsidP="00A209D6">
      <w:pPr>
        <w:pStyle w:val="Heading2"/>
      </w:pPr>
      <w:r>
        <w:t>2</w:t>
      </w:r>
      <w:r w:rsidR="00A209D6" w:rsidRPr="006E13D1">
        <w:t>.</w:t>
      </w:r>
      <w:r w:rsidR="003427AC">
        <w:t>2</w:t>
      </w:r>
      <w:r w:rsidR="00A209D6" w:rsidRPr="006E13D1">
        <w:tab/>
      </w:r>
      <w:r w:rsidR="00C921D7">
        <w:t>Validity conditions to use pre-configured PUSCH based SDT</w:t>
      </w:r>
    </w:p>
    <w:p w14:paraId="32351978" w14:textId="4D8703BA" w:rsidR="00561BCD" w:rsidRPr="00101973" w:rsidRDefault="00561BCD" w:rsidP="00561BCD">
      <w:pPr>
        <w:pStyle w:val="Heading2"/>
        <w:rPr>
          <w:sz w:val="28"/>
          <w:szCs w:val="18"/>
        </w:rPr>
      </w:pPr>
      <w:r w:rsidRPr="00101973">
        <w:rPr>
          <w:sz w:val="28"/>
          <w:szCs w:val="18"/>
        </w:rPr>
        <w:t>2.</w:t>
      </w:r>
      <w:r w:rsidR="003427AC">
        <w:rPr>
          <w:sz w:val="28"/>
          <w:szCs w:val="18"/>
        </w:rPr>
        <w:t>2</w:t>
      </w:r>
      <w:r w:rsidRPr="00101973">
        <w:rPr>
          <w:sz w:val="28"/>
          <w:szCs w:val="18"/>
        </w:rPr>
        <w:t xml:space="preserve">.1 </w:t>
      </w:r>
      <w:r>
        <w:rPr>
          <w:sz w:val="28"/>
          <w:szCs w:val="18"/>
        </w:rPr>
        <w:tab/>
      </w:r>
      <w:r w:rsidRPr="00101973">
        <w:rPr>
          <w:sz w:val="28"/>
          <w:szCs w:val="18"/>
        </w:rPr>
        <w:t>Timing alignment</w:t>
      </w:r>
      <w:r>
        <w:rPr>
          <w:sz w:val="28"/>
          <w:szCs w:val="18"/>
        </w:rPr>
        <w:t xml:space="preserve"> validity</w:t>
      </w:r>
    </w:p>
    <w:p w14:paraId="3A1ED6F4" w14:textId="17A84923" w:rsidR="00561BCD" w:rsidRDefault="00561BCD" w:rsidP="00561BCD">
      <w:pPr>
        <w:jc w:val="both"/>
        <w:rPr>
          <w:color w:val="000000"/>
        </w:rPr>
      </w:pPr>
      <w:r>
        <w:t xml:space="preserve">In the WID, it is highlighted that </w:t>
      </w:r>
      <w:r>
        <w:rPr>
          <w:color w:val="000000"/>
        </w:rPr>
        <w:t>the transmission of UL data over pre-configured PUSCH resources has the caveat that the UE must have a valid timing alignment, which is in-line with the PUR design [</w:t>
      </w:r>
      <w:r w:rsidR="001859D4">
        <w:rPr>
          <w:color w:val="000000"/>
        </w:rPr>
        <w:t>3</w:t>
      </w:r>
      <w:r>
        <w:rPr>
          <w:color w:val="000000"/>
        </w:rPr>
        <w:t xml:space="preserve">]. </w:t>
      </w:r>
    </w:p>
    <w:p w14:paraId="01C85B2D" w14:textId="5DCE7C95" w:rsidR="00AD3D5A" w:rsidRDefault="00A82CFD" w:rsidP="00561BCD">
      <w:pPr>
        <w:jc w:val="both"/>
      </w:pPr>
      <w:r>
        <w:t xml:space="preserve">If the condition to use the pre-configured PUSCH resources is to have a valid Timing Alignment then it is necessary that the UE has a mechanism available, while in RRC Inactive, that allows it to keep track if the Timing Alignment is still valid. </w:t>
      </w:r>
      <w:r w:rsidR="00286116">
        <w:t>In RAN2#112, the following agreement was made:</w:t>
      </w:r>
    </w:p>
    <w:tbl>
      <w:tblPr>
        <w:tblStyle w:val="TableGrid"/>
        <w:tblW w:w="0" w:type="auto"/>
        <w:tblLook w:val="04A0" w:firstRow="1" w:lastRow="0" w:firstColumn="1" w:lastColumn="0" w:noHBand="0" w:noVBand="1"/>
      </w:tblPr>
      <w:tblGrid>
        <w:gridCol w:w="9631"/>
      </w:tblGrid>
      <w:tr w:rsidR="00286116" w14:paraId="0C080028" w14:textId="77777777" w:rsidTr="00286116">
        <w:tc>
          <w:tcPr>
            <w:tcW w:w="9631" w:type="dxa"/>
          </w:tcPr>
          <w:p w14:paraId="25B0D5D5" w14:textId="0F276B9F" w:rsidR="00286116" w:rsidRPr="00BE65E0" w:rsidRDefault="00BE65E0" w:rsidP="00561BCD">
            <w:pPr>
              <w:jc w:val="both"/>
              <w:rPr>
                <w:lang w:val="en-US"/>
              </w:rPr>
            </w:pPr>
            <w:r w:rsidRPr="00FD2452">
              <w:rPr>
                <w:rFonts w:ascii="Arial" w:hAnsi="Arial" w:cs="Arial"/>
                <w:lang w:val="en-US"/>
              </w:rPr>
              <w:t xml:space="preserve">3        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FD2452">
              <w:rPr>
                <w:rFonts w:ascii="Arial" w:hAnsi="Arial" w:cs="Arial"/>
                <w:lang w:val="en-US"/>
              </w:rPr>
              <w:t>RRCRelease</w:t>
            </w:r>
            <w:proofErr w:type="spellEnd"/>
            <w:r w:rsidRPr="00FD2452">
              <w:rPr>
                <w:rFonts w:ascii="Arial" w:hAnsi="Arial" w:cs="Arial"/>
                <w:lang w:val="en-US"/>
              </w:rPr>
              <w:t xml:space="preserve"> message.</w:t>
            </w:r>
          </w:p>
        </w:tc>
      </w:tr>
    </w:tbl>
    <w:p w14:paraId="2F4B1876" w14:textId="6659D8A1" w:rsidR="008043E6" w:rsidRDefault="008043E6" w:rsidP="008043E6">
      <w:pPr>
        <w:spacing w:before="240"/>
        <w:jc w:val="both"/>
      </w:pPr>
      <w:r w:rsidRPr="00840A93">
        <w:t xml:space="preserve">The TA timer by itself is not </w:t>
      </w:r>
      <w:r>
        <w:t xml:space="preserve">a </w:t>
      </w:r>
      <w:r w:rsidRPr="00840A93">
        <w:t xml:space="preserve">condition enough to validate if the UE still has a valid </w:t>
      </w:r>
      <w:r>
        <w:t>TA</w:t>
      </w:r>
      <w:r w:rsidRPr="00840A93">
        <w:t>, since the configured timer duration does not reflect the UE’s mobility conditions and therefore the UE can become time misaligned before the TA timer expires</w:t>
      </w:r>
      <w:r>
        <w:t>. Also, the UE may be</w:t>
      </w:r>
      <w:r w:rsidRPr="00840A93">
        <w:t xml:space="preserve"> still time aligned when the TA timer expires.</w:t>
      </w:r>
      <w:r>
        <w:t xml:space="preserve"> Therefore, in </w:t>
      </w:r>
      <w:r w:rsidRPr="00840A93">
        <w:t xml:space="preserve">NB-IOT’s PUR, the </w:t>
      </w:r>
      <w:r>
        <w:t>TA</w:t>
      </w:r>
      <w:r w:rsidRPr="00840A93">
        <w:t xml:space="preserve"> validation</w:t>
      </w:r>
      <w:r>
        <w:t xml:space="preserve"> procedure was extended to also include the observation of the </w:t>
      </w:r>
      <w:r w:rsidR="00DD74D6">
        <w:t>variation</w:t>
      </w:r>
      <w:r>
        <w:t xml:space="preserve"> of the serving cell RSRP. Below we revisit this procedure as defined in TS 38.331</w:t>
      </w:r>
      <w:r w:rsidR="00DD74D6">
        <w:t xml:space="preserve"> [</w:t>
      </w:r>
      <w:r w:rsidR="001859D4">
        <w:t>4</w:t>
      </w:r>
      <w:r w:rsidR="00DD74D6">
        <w:t>]</w:t>
      </w:r>
      <w:r>
        <w:t xml:space="preserve"> in clause 5.3.3.19:</w:t>
      </w:r>
    </w:p>
    <w:tbl>
      <w:tblPr>
        <w:tblStyle w:val="TableGrid"/>
        <w:tblW w:w="0" w:type="auto"/>
        <w:tblLook w:val="04A0" w:firstRow="1" w:lastRow="0" w:firstColumn="1" w:lastColumn="0" w:noHBand="0" w:noVBand="1"/>
      </w:tblPr>
      <w:tblGrid>
        <w:gridCol w:w="9631"/>
      </w:tblGrid>
      <w:tr w:rsidR="00561BCD" w14:paraId="08FCB5F3" w14:textId="77777777" w:rsidTr="00653B68">
        <w:tc>
          <w:tcPr>
            <w:tcW w:w="9631" w:type="dxa"/>
          </w:tcPr>
          <w:p w14:paraId="5EBA8E17" w14:textId="77777777" w:rsidR="00561BCD" w:rsidRPr="007F6962" w:rsidRDefault="00561BCD" w:rsidP="00653B6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36566472"/>
            <w:bookmarkStart w:id="2" w:name="_Toc36809881"/>
            <w:bookmarkStart w:id="3" w:name="_Toc36846245"/>
            <w:bookmarkStart w:id="4" w:name="_Toc36938898"/>
            <w:bookmarkStart w:id="5" w:name="_Toc37081877"/>
            <w:bookmarkStart w:id="6" w:name="_Toc46480502"/>
            <w:bookmarkStart w:id="7" w:name="_Toc46481736"/>
            <w:bookmarkStart w:id="8" w:name="_Toc46482970"/>
            <w:bookmarkStart w:id="9" w:name="_Hlk54267542"/>
            <w:r w:rsidRPr="007F6962">
              <w:rPr>
                <w:rFonts w:ascii="Arial" w:hAnsi="Arial"/>
                <w:sz w:val="24"/>
                <w:lang w:eastAsia="ja-JP"/>
              </w:rPr>
              <w:lastRenderedPageBreak/>
              <w:t>5.3.3.19</w:t>
            </w:r>
            <w:r w:rsidRPr="007F6962">
              <w:rPr>
                <w:rFonts w:ascii="Arial" w:hAnsi="Arial"/>
                <w:sz w:val="24"/>
                <w:lang w:eastAsia="ja-JP"/>
              </w:rPr>
              <w:tab/>
              <w:t>Timing alignment validation for transmission using PUR</w:t>
            </w:r>
            <w:bookmarkEnd w:id="1"/>
            <w:bookmarkEnd w:id="2"/>
            <w:bookmarkEnd w:id="3"/>
            <w:bookmarkEnd w:id="4"/>
            <w:bookmarkEnd w:id="5"/>
            <w:bookmarkEnd w:id="6"/>
            <w:bookmarkEnd w:id="7"/>
            <w:bookmarkEnd w:id="8"/>
          </w:p>
          <w:bookmarkEnd w:id="9"/>
          <w:p w14:paraId="35E9F4ED" w14:textId="77777777" w:rsidR="00561BCD" w:rsidRPr="007F6962" w:rsidRDefault="00561BCD" w:rsidP="00653B68">
            <w:pPr>
              <w:overflowPunct w:val="0"/>
              <w:autoSpaceDE w:val="0"/>
              <w:autoSpaceDN w:val="0"/>
              <w:adjustRightInd w:val="0"/>
              <w:textAlignment w:val="baseline"/>
              <w:rPr>
                <w:lang w:eastAsia="ja-JP"/>
              </w:rPr>
            </w:pPr>
            <w:r w:rsidRPr="007F6962">
              <w:rPr>
                <w:lang w:eastAsia="ja-JP"/>
              </w:rPr>
              <w:t>A UE shall consider the timing alignment value for transmission using PUR to be valid when all of the following conditions are fulfilled:</w:t>
            </w:r>
          </w:p>
          <w:p w14:paraId="6B660981" w14:textId="77777777" w:rsidR="00561BCD" w:rsidRPr="007F6962" w:rsidRDefault="00561BCD" w:rsidP="00653B68">
            <w:pPr>
              <w:overflowPunct w:val="0"/>
              <w:autoSpaceDE w:val="0"/>
              <w:autoSpaceDN w:val="0"/>
              <w:adjustRightInd w:val="0"/>
              <w:ind w:left="568" w:hanging="284"/>
              <w:textAlignment w:val="baseline"/>
              <w:rPr>
                <w:lang w:eastAsia="ja-JP"/>
              </w:rPr>
            </w:pPr>
            <w:r w:rsidRPr="007F6962">
              <w:rPr>
                <w:lang w:eastAsia="ja-JP"/>
              </w:rPr>
              <w:t>1&gt;</w:t>
            </w:r>
            <w:r w:rsidRPr="007F6962">
              <w:rPr>
                <w:lang w:eastAsia="ja-JP"/>
              </w:rPr>
              <w:tab/>
              <w:t xml:space="preserve">if </w:t>
            </w:r>
            <w:proofErr w:type="spellStart"/>
            <w:r w:rsidRPr="007F6962">
              <w:rPr>
                <w:i/>
                <w:lang w:eastAsia="ja-JP"/>
              </w:rPr>
              <w:t>pur-TimeAlignmentTimer</w:t>
            </w:r>
            <w:proofErr w:type="spellEnd"/>
            <w:r w:rsidRPr="007F6962">
              <w:rPr>
                <w:lang w:eastAsia="ja-JP"/>
              </w:rPr>
              <w:t xml:space="preserve"> is configured:</w:t>
            </w:r>
          </w:p>
          <w:p w14:paraId="448778CC" w14:textId="77777777" w:rsidR="00561BCD" w:rsidRPr="007F6962" w:rsidRDefault="00561BCD" w:rsidP="00653B68">
            <w:pPr>
              <w:overflowPunct w:val="0"/>
              <w:autoSpaceDE w:val="0"/>
              <w:autoSpaceDN w:val="0"/>
              <w:adjustRightInd w:val="0"/>
              <w:ind w:left="851" w:hanging="284"/>
              <w:textAlignment w:val="baseline"/>
              <w:rPr>
                <w:lang w:eastAsia="ja-JP"/>
              </w:rPr>
            </w:pPr>
            <w:r w:rsidRPr="007F6962">
              <w:rPr>
                <w:lang w:eastAsia="ja-JP"/>
              </w:rPr>
              <w:t>2&gt;</w:t>
            </w:r>
            <w:r w:rsidRPr="007F6962">
              <w:rPr>
                <w:lang w:eastAsia="ja-JP"/>
              </w:rPr>
              <w:tab/>
            </w:r>
            <w:proofErr w:type="spellStart"/>
            <w:r w:rsidRPr="007F6962">
              <w:rPr>
                <w:i/>
                <w:lang w:eastAsia="ja-JP"/>
              </w:rPr>
              <w:t>pur-TimeAlignmentTimer</w:t>
            </w:r>
            <w:proofErr w:type="spellEnd"/>
            <w:r w:rsidRPr="007F6962" w:rsidDel="008E5DC4">
              <w:rPr>
                <w:lang w:eastAsia="ja-JP"/>
              </w:rPr>
              <w:t xml:space="preserve"> </w:t>
            </w:r>
            <w:r w:rsidRPr="007F6962">
              <w:rPr>
                <w:lang w:eastAsia="ja-JP"/>
              </w:rPr>
              <w:t xml:space="preserve">is running as confirmed by lower </w:t>
            </w:r>
            <w:proofErr w:type="gramStart"/>
            <w:r w:rsidRPr="007F6962">
              <w:rPr>
                <w:lang w:eastAsia="ja-JP"/>
              </w:rPr>
              <w:t>layers;</w:t>
            </w:r>
            <w:proofErr w:type="gramEnd"/>
          </w:p>
          <w:p w14:paraId="1C320959" w14:textId="77777777" w:rsidR="00561BCD" w:rsidRPr="007F6962" w:rsidRDefault="00561BCD" w:rsidP="00653B68">
            <w:pPr>
              <w:overflowPunct w:val="0"/>
              <w:autoSpaceDE w:val="0"/>
              <w:autoSpaceDN w:val="0"/>
              <w:adjustRightInd w:val="0"/>
              <w:ind w:left="568" w:hanging="284"/>
              <w:textAlignment w:val="baseline"/>
              <w:rPr>
                <w:lang w:eastAsia="ja-JP"/>
              </w:rPr>
            </w:pPr>
            <w:r w:rsidRPr="007F6962">
              <w:rPr>
                <w:lang w:eastAsia="ja-JP"/>
              </w:rPr>
              <w:t>1&gt;</w:t>
            </w:r>
            <w:r w:rsidRPr="007F6962">
              <w:rPr>
                <w:lang w:eastAsia="ja-JP"/>
              </w:rPr>
              <w:tab/>
              <w:t xml:space="preserve">if </w:t>
            </w:r>
            <w:proofErr w:type="spellStart"/>
            <w:r w:rsidRPr="007F6962">
              <w:rPr>
                <w:i/>
                <w:lang w:eastAsia="ja-JP"/>
              </w:rPr>
              <w:t>pur</w:t>
            </w:r>
            <w:proofErr w:type="spellEnd"/>
            <w:r w:rsidRPr="007F6962">
              <w:rPr>
                <w:i/>
                <w:lang w:eastAsia="ja-JP"/>
              </w:rPr>
              <w:t>-RSRP-</w:t>
            </w:r>
            <w:proofErr w:type="spellStart"/>
            <w:r w:rsidRPr="007F6962">
              <w:rPr>
                <w:i/>
                <w:lang w:eastAsia="ja-JP"/>
              </w:rPr>
              <w:t>ChangeThreshold</w:t>
            </w:r>
            <w:proofErr w:type="spellEnd"/>
            <w:r w:rsidRPr="007F6962">
              <w:rPr>
                <w:lang w:eastAsia="ja-JP"/>
              </w:rPr>
              <w:t xml:space="preserve"> (</w:t>
            </w:r>
            <w:proofErr w:type="spellStart"/>
            <w:r w:rsidRPr="007F6962">
              <w:rPr>
                <w:i/>
                <w:lang w:eastAsia="ja-JP"/>
              </w:rPr>
              <w:t>pur</w:t>
            </w:r>
            <w:proofErr w:type="spellEnd"/>
            <w:r w:rsidRPr="007F6962">
              <w:rPr>
                <w:i/>
                <w:lang w:eastAsia="ja-JP"/>
              </w:rPr>
              <w:t>-NRSRP-</w:t>
            </w:r>
            <w:proofErr w:type="spellStart"/>
            <w:r w:rsidRPr="007F6962">
              <w:rPr>
                <w:i/>
                <w:lang w:eastAsia="ja-JP"/>
              </w:rPr>
              <w:t>ChangeThreshold</w:t>
            </w:r>
            <w:proofErr w:type="spellEnd"/>
            <w:r w:rsidRPr="007F6962">
              <w:rPr>
                <w:lang w:eastAsia="ja-JP"/>
              </w:rPr>
              <w:t xml:space="preserve"> in NB-IoT) is configured:</w:t>
            </w:r>
          </w:p>
          <w:p w14:paraId="469D49A3" w14:textId="77777777" w:rsidR="00561BCD" w:rsidRPr="007F6962" w:rsidRDefault="00561BCD" w:rsidP="00653B68">
            <w:pPr>
              <w:overflowPunct w:val="0"/>
              <w:autoSpaceDE w:val="0"/>
              <w:autoSpaceDN w:val="0"/>
              <w:adjustRightInd w:val="0"/>
              <w:ind w:left="851" w:hanging="284"/>
              <w:textAlignment w:val="baseline"/>
              <w:rPr>
                <w:bCs/>
                <w:noProof/>
                <w:lang w:eastAsia="en-GB"/>
              </w:rPr>
            </w:pPr>
            <w:r w:rsidRPr="007F6962">
              <w:rPr>
                <w:lang w:eastAsia="ja-JP"/>
              </w:rPr>
              <w:t>2&gt;</w:t>
            </w:r>
            <w:r w:rsidRPr="007F6962">
              <w:rPr>
                <w:lang w:eastAsia="ja-JP"/>
              </w:rPr>
              <w:tab/>
              <w:t xml:space="preserve">since the last TA validation, the </w:t>
            </w:r>
            <w:r w:rsidRPr="007F6962">
              <w:rPr>
                <w:bCs/>
                <w:noProof/>
                <w:lang w:eastAsia="en-GB"/>
              </w:rPr>
              <w:t xml:space="preserve">serving cell (N)RSRP has not increased by more than </w:t>
            </w:r>
            <w:r w:rsidRPr="007F6962">
              <w:rPr>
                <w:bCs/>
                <w:i/>
                <w:noProof/>
                <w:lang w:eastAsia="en-GB"/>
              </w:rPr>
              <w:t>increaseThresh</w:t>
            </w:r>
            <w:r w:rsidRPr="007F6962">
              <w:rPr>
                <w:bCs/>
                <w:noProof/>
                <w:lang w:eastAsia="en-GB"/>
              </w:rPr>
              <w:t>; and</w:t>
            </w:r>
          </w:p>
          <w:p w14:paraId="1B1ED5CC" w14:textId="77777777" w:rsidR="00561BCD" w:rsidRDefault="00561BCD" w:rsidP="00653B68">
            <w:pPr>
              <w:overflowPunct w:val="0"/>
              <w:autoSpaceDE w:val="0"/>
              <w:autoSpaceDN w:val="0"/>
              <w:adjustRightInd w:val="0"/>
              <w:ind w:left="851" w:hanging="284"/>
              <w:textAlignment w:val="baseline"/>
              <w:rPr>
                <w:lang w:eastAsia="ja-JP"/>
              </w:rPr>
            </w:pPr>
            <w:r w:rsidRPr="007F6962">
              <w:rPr>
                <w:lang w:eastAsia="ja-JP"/>
              </w:rPr>
              <w:t>2&gt;</w:t>
            </w:r>
            <w:r w:rsidRPr="007F6962">
              <w:rPr>
                <w:lang w:eastAsia="ja-JP"/>
              </w:rPr>
              <w:tab/>
              <w:t xml:space="preserve">since the last TA validation, the </w:t>
            </w:r>
            <w:r w:rsidRPr="007F6962">
              <w:rPr>
                <w:bCs/>
                <w:noProof/>
                <w:lang w:eastAsia="en-GB"/>
              </w:rPr>
              <w:t xml:space="preserve">serving cell (N)RSRP has not decreased by more than </w:t>
            </w:r>
            <w:r w:rsidRPr="007F6962">
              <w:rPr>
                <w:bCs/>
                <w:i/>
                <w:noProof/>
                <w:lang w:eastAsia="en-GB"/>
              </w:rPr>
              <w:t>decreaseThresh</w:t>
            </w:r>
            <w:r w:rsidRPr="007F6962">
              <w:rPr>
                <w:lang w:eastAsia="ja-JP"/>
              </w:rPr>
              <w:t>;</w:t>
            </w:r>
          </w:p>
        </w:tc>
      </w:tr>
    </w:tbl>
    <w:p w14:paraId="38C8D58F" w14:textId="327C071E" w:rsidR="00AF6740" w:rsidRDefault="00CB4169" w:rsidP="00AF6740">
      <w:pPr>
        <w:spacing w:before="240"/>
        <w:jc w:val="both"/>
      </w:pPr>
      <w:r w:rsidRPr="00840A93">
        <w:t>However, the same</w:t>
      </w:r>
      <w:r>
        <w:t xml:space="preserve"> serving cell</w:t>
      </w:r>
      <w:r w:rsidRPr="00840A93">
        <w:t xml:space="preserve"> RSRP based </w:t>
      </w:r>
      <w:r>
        <w:t xml:space="preserve">TA </w:t>
      </w:r>
      <w:r w:rsidRPr="00840A93">
        <w:t xml:space="preserve">validation </w:t>
      </w:r>
      <w:r>
        <w:t xml:space="preserve">procedure </w:t>
      </w:r>
      <w:r w:rsidRPr="00840A93">
        <w:t xml:space="preserve">is not </w:t>
      </w:r>
      <w:r>
        <w:t xml:space="preserve">necessarily </w:t>
      </w:r>
      <w:r w:rsidRPr="00840A93">
        <w:t xml:space="preserve">sufficient in NR, mainly due to the </w:t>
      </w:r>
      <w:r>
        <w:t xml:space="preserve">characteristics associated with the </w:t>
      </w:r>
      <w:r w:rsidRPr="00840A93">
        <w:t>NR</w:t>
      </w:r>
      <w:r>
        <w:t>’s</w:t>
      </w:r>
      <w:r w:rsidRPr="00840A93">
        <w:t xml:space="preserve"> beam-based operation.</w:t>
      </w:r>
      <w:r w:rsidR="00AF6740">
        <w:t xml:space="preserve"> </w:t>
      </w:r>
      <w:r w:rsidR="5F77B63F">
        <w:t xml:space="preserve"> </w:t>
      </w:r>
      <w:r w:rsidR="737BCC99">
        <w:t>This is supported by the conclusions of the CG-SDT email discussion, namely:</w:t>
      </w:r>
    </w:p>
    <w:tbl>
      <w:tblPr>
        <w:tblStyle w:val="TableGrid"/>
        <w:tblW w:w="0" w:type="auto"/>
        <w:tblLayout w:type="fixed"/>
        <w:tblLook w:val="06A0" w:firstRow="1" w:lastRow="0" w:firstColumn="1" w:lastColumn="0" w:noHBand="1" w:noVBand="1"/>
      </w:tblPr>
      <w:tblGrid>
        <w:gridCol w:w="9630"/>
      </w:tblGrid>
      <w:tr w:rsidR="678DA5FF" w14:paraId="50710559" w14:textId="77777777" w:rsidTr="678DA5FF">
        <w:tc>
          <w:tcPr>
            <w:tcW w:w="9630" w:type="dxa"/>
          </w:tcPr>
          <w:p w14:paraId="2F208E15" w14:textId="1C1964F9" w:rsidR="737BCC99" w:rsidRPr="00B00C66" w:rsidRDefault="737BCC99" w:rsidP="00B00C66">
            <w:pPr>
              <w:jc w:val="both"/>
              <w:rPr>
                <w:rFonts w:ascii="Arial" w:eastAsia="Arial" w:hAnsi="Arial" w:cs="Arial"/>
              </w:rPr>
            </w:pPr>
            <w:r w:rsidRPr="00B00C66">
              <w:rPr>
                <w:rFonts w:ascii="Arial" w:eastAsia="Arial" w:hAnsi="Arial" w:cs="Arial"/>
              </w:rPr>
              <w:t xml:space="preserve">Proposal 6: Introduce a TA validation mechanism for SDT based on RSRP change, i.e.  RSRP-based threshold(s) are configured. Details of the TA validation procedure can be further discussed, </w:t>
            </w:r>
            <w:proofErr w:type="gramStart"/>
            <w:r w:rsidRPr="00B00C66">
              <w:rPr>
                <w:rFonts w:ascii="Arial" w:eastAsia="Arial" w:hAnsi="Arial" w:cs="Arial"/>
              </w:rPr>
              <w:t>e.g.</w:t>
            </w:r>
            <w:proofErr w:type="gramEnd"/>
            <w:r w:rsidRPr="00B00C66">
              <w:rPr>
                <w:rFonts w:ascii="Arial" w:eastAsia="Arial" w:hAnsi="Arial" w:cs="Arial"/>
              </w:rPr>
              <w:t xml:space="preserve"> RSRP-based threshold are applied to SS-RSRP. (20/26)</w:t>
            </w:r>
          </w:p>
        </w:tc>
      </w:tr>
    </w:tbl>
    <w:p w14:paraId="773EC7AA" w14:textId="6930D74F" w:rsidR="737BCC99" w:rsidRPr="00FD2452" w:rsidRDefault="737BCC99" w:rsidP="00FD2452">
      <w:pPr>
        <w:spacing w:before="240"/>
        <w:jc w:val="both"/>
      </w:pPr>
      <w:r w:rsidRPr="00FD2452">
        <w:t xml:space="preserve">We </w:t>
      </w:r>
      <w:r w:rsidR="00B82B2C">
        <w:t>think</w:t>
      </w:r>
      <w:r w:rsidRPr="00FD2452">
        <w:t xml:space="preserve"> that the TA validation </w:t>
      </w:r>
      <w:r w:rsidR="0070004C">
        <w:t>criteria</w:t>
      </w:r>
      <w:r w:rsidRPr="00FD2452">
        <w:t xml:space="preserve"> should be</w:t>
      </w:r>
      <w:r w:rsidR="20798505" w:rsidRPr="00FD2452">
        <w:t xml:space="preserve"> further</w:t>
      </w:r>
      <w:r w:rsidRPr="00FD2452">
        <w:t xml:space="preserve"> discussed by RAN1.</w:t>
      </w:r>
    </w:p>
    <w:p w14:paraId="45A6745F" w14:textId="5E6FDB0F" w:rsidR="737BCC99" w:rsidRDefault="737BCC99" w:rsidP="678DA5FF">
      <w:pPr>
        <w:spacing w:after="240"/>
        <w:jc w:val="both"/>
        <w:rPr>
          <w:b/>
          <w:bCs/>
        </w:rPr>
      </w:pPr>
      <w:r w:rsidRPr="678DA5FF">
        <w:rPr>
          <w:b/>
          <w:bCs/>
        </w:rPr>
        <w:t xml:space="preserve">Proposal </w:t>
      </w:r>
      <w:r w:rsidR="00B00C66">
        <w:rPr>
          <w:b/>
          <w:bCs/>
        </w:rPr>
        <w:t>7</w:t>
      </w:r>
      <w:r w:rsidRPr="678DA5FF">
        <w:rPr>
          <w:b/>
          <w:bCs/>
        </w:rPr>
        <w:t>: RAN 1 should be asked to study TA validation mechanisms that can make TA validation robust in multi-beam scenarios.</w:t>
      </w:r>
    </w:p>
    <w:p w14:paraId="36180452" w14:textId="5449CBF3" w:rsidR="00124D93" w:rsidRPr="00124D93" w:rsidRDefault="00AF6740" w:rsidP="00B00C66">
      <w:pPr>
        <w:jc w:val="center"/>
      </w:pPr>
      <w:r>
        <w:fldChar w:fldCharType="begin"/>
      </w:r>
      <w:r>
        <w:instrText xml:space="preserve"> REF _Ref57900083 \h  \* MERGEFORMAT </w:instrText>
      </w:r>
      <w:r>
        <w:fldChar w:fldCharType="end"/>
      </w:r>
      <w:r>
        <w:fldChar w:fldCharType="begin"/>
      </w:r>
      <w:r>
        <w:instrText xml:space="preserve"> REF _Ref57900083 \h </w:instrText>
      </w:r>
      <w:r>
        <w:fldChar w:fldCharType="end"/>
      </w:r>
      <w:r>
        <w:fldChar w:fldCharType="begin"/>
      </w:r>
      <w:r>
        <w:instrText xml:space="preserve"> REF _Ref57900083 \h </w:instrText>
      </w:r>
      <w:r>
        <w:fldChar w:fldCharType="end"/>
      </w:r>
      <w:bookmarkStart w:id="10" w:name="_Ref57900083"/>
      <w:r>
        <w:rPr>
          <w:i/>
          <w:iCs/>
          <w:color w:val="44546A" w:themeColor="text2"/>
          <w:sz w:val="18"/>
          <w:szCs w:val="18"/>
        </w:rPr>
        <w:fldChar w:fldCharType="begin"/>
      </w:r>
      <w:r>
        <w:instrText>SEQ Figure \* ARABIC</w:instrText>
      </w:r>
      <w:r>
        <w:rPr>
          <w:i/>
          <w:iCs/>
          <w:color w:val="44546A" w:themeColor="text2"/>
          <w:sz w:val="18"/>
          <w:szCs w:val="18"/>
        </w:rPr>
        <w:fldChar w:fldCharType="end"/>
      </w:r>
      <w:bookmarkEnd w:id="10"/>
      <w:r w:rsidR="00561BCD" w:rsidRPr="00E93A54">
        <w:t>I</w:t>
      </w:r>
    </w:p>
    <w:p w14:paraId="40B74EB3" w14:textId="628535E5" w:rsidR="007C65DE" w:rsidRPr="00D74F9B" w:rsidRDefault="00613382" w:rsidP="00D74F9B">
      <w:pPr>
        <w:pStyle w:val="Heading2"/>
      </w:pPr>
      <w:r>
        <w:t>2.3</w:t>
      </w:r>
      <w:r>
        <w:tab/>
      </w:r>
      <w:r w:rsidR="00D74F9B" w:rsidRPr="00D74F9B">
        <w:t>Other CG</w:t>
      </w:r>
      <w:r w:rsidR="00C2140A">
        <w:t xml:space="preserve"> based </w:t>
      </w:r>
      <w:r w:rsidR="00D74F9B" w:rsidRPr="00D74F9B">
        <w:t>SDT procedure aspects</w:t>
      </w:r>
    </w:p>
    <w:p w14:paraId="24A01DEF" w14:textId="5FA0358D" w:rsidR="00C2140A" w:rsidRPr="00C2140A" w:rsidRDefault="00C2140A" w:rsidP="00C2140A">
      <w:pPr>
        <w:pStyle w:val="Heading2"/>
        <w:rPr>
          <w:sz w:val="28"/>
          <w:szCs w:val="28"/>
        </w:rPr>
      </w:pPr>
      <w:r w:rsidRPr="15977D67">
        <w:rPr>
          <w:sz w:val="28"/>
          <w:szCs w:val="28"/>
        </w:rPr>
        <w:t>2.3.</w:t>
      </w:r>
      <w:r w:rsidR="6B0357A1" w:rsidRPr="15977D67">
        <w:rPr>
          <w:sz w:val="28"/>
          <w:szCs w:val="28"/>
        </w:rPr>
        <w:t>1</w:t>
      </w:r>
      <w:r>
        <w:tab/>
      </w:r>
      <w:r w:rsidRPr="15977D67">
        <w:rPr>
          <w:sz w:val="28"/>
          <w:szCs w:val="28"/>
        </w:rPr>
        <w:t>On RNTI to monitor after CG based SDT</w:t>
      </w:r>
    </w:p>
    <w:p w14:paraId="3076AB4F" w14:textId="2FE86B66" w:rsidR="00C2140A" w:rsidRDefault="006A1743" w:rsidP="004A6D67">
      <w:pPr>
        <w:jc w:val="both"/>
      </w:pPr>
      <w:r>
        <w:t>Unlike in connected mode the UE monitors both C-RNTI and CG-RNTI with dynamic grant and CG HARQ process sharing, the UE only needs to monitor one RNTI for CG-SDT</w:t>
      </w:r>
      <w:r w:rsidR="009B4475">
        <w:t xml:space="preserve"> since it is unlikely to have </w:t>
      </w:r>
      <w:r w:rsidR="00FC2226">
        <w:t>a lot of data that would require HARQ process sharing for dynamic grant and CG.</w:t>
      </w:r>
      <w:r>
        <w:t xml:space="preserve"> </w:t>
      </w:r>
      <w:r w:rsidR="00DA7C1B">
        <w:t>Only one RNTI (</w:t>
      </w:r>
      <w:r w:rsidR="005D7918">
        <w:t>C-RNTI</w:t>
      </w:r>
      <w:r w:rsidR="00DA7C1B">
        <w:t>)</w:t>
      </w:r>
      <w:r>
        <w:t xml:space="preserve"> is configured when CG-SDT resource is configured.</w:t>
      </w:r>
    </w:p>
    <w:p w14:paraId="173504A2" w14:textId="3FB6812C" w:rsidR="006A1743" w:rsidRPr="006A1743" w:rsidRDefault="006A1743" w:rsidP="004A6D67">
      <w:pPr>
        <w:jc w:val="both"/>
        <w:rPr>
          <w:b/>
          <w:bCs/>
        </w:rPr>
      </w:pPr>
      <w:r w:rsidRPr="36FD2942">
        <w:rPr>
          <w:b/>
          <w:bCs/>
        </w:rPr>
        <w:t xml:space="preserve">Proposal </w:t>
      </w:r>
      <w:r w:rsidR="00B00C66" w:rsidRPr="36FD2942">
        <w:rPr>
          <w:b/>
          <w:bCs/>
        </w:rPr>
        <w:t>8</w:t>
      </w:r>
      <w:r w:rsidRPr="36FD2942">
        <w:rPr>
          <w:b/>
          <w:bCs/>
        </w:rPr>
        <w:t xml:space="preserve">: </w:t>
      </w:r>
      <w:r w:rsidR="68EC34DE" w:rsidRPr="36FD2942">
        <w:rPr>
          <w:b/>
          <w:bCs/>
        </w:rPr>
        <w:t>O</w:t>
      </w:r>
      <w:r w:rsidRPr="36FD2942">
        <w:rPr>
          <w:b/>
          <w:bCs/>
        </w:rPr>
        <w:t>nly one RNTI is configured for CG-SDT.</w:t>
      </w:r>
    </w:p>
    <w:p w14:paraId="0CDDCDA5" w14:textId="68B0C230" w:rsidR="00613382" w:rsidRPr="00C2140A" w:rsidRDefault="00C2140A" w:rsidP="00C2140A">
      <w:pPr>
        <w:pStyle w:val="Heading2"/>
        <w:rPr>
          <w:sz w:val="28"/>
          <w:szCs w:val="28"/>
        </w:rPr>
      </w:pPr>
      <w:r w:rsidRPr="15977D67">
        <w:rPr>
          <w:sz w:val="28"/>
          <w:szCs w:val="28"/>
        </w:rPr>
        <w:t>2.3.</w:t>
      </w:r>
      <w:r w:rsidR="74AC8DFE" w:rsidRPr="15977D67">
        <w:rPr>
          <w:sz w:val="28"/>
          <w:szCs w:val="28"/>
        </w:rPr>
        <w:t>2</w:t>
      </w:r>
      <w:r>
        <w:tab/>
      </w:r>
      <w:r w:rsidRPr="15977D67">
        <w:rPr>
          <w:sz w:val="28"/>
          <w:szCs w:val="28"/>
        </w:rPr>
        <w:t xml:space="preserve">BWP aspects </w:t>
      </w:r>
    </w:p>
    <w:p w14:paraId="29DC2435" w14:textId="38178933" w:rsidR="006A1743" w:rsidRDefault="00D573EE" w:rsidP="006A1743">
      <w:pPr>
        <w:jc w:val="both"/>
      </w:pPr>
      <w:r>
        <w:t xml:space="preserve">For FDD, it is possible to configure UL initial BWP wider than DL initial BWP, thus the NW could in principle configure CG anywhere it wants and even consider it as UL initial BWP without impact UE power consumption. However, for TDD, UL and DL with same BW and considering the UE would need to monitor paging, SI etc on the initial DL BWP, UL should operate on initial BWP as well to avoid BWP switching. </w:t>
      </w:r>
    </w:p>
    <w:p w14:paraId="5A79C041" w14:textId="2F03199A" w:rsidR="00C2140A" w:rsidRPr="00FB7A0C" w:rsidRDefault="00D573EE" w:rsidP="004A6D67">
      <w:pPr>
        <w:jc w:val="both"/>
      </w:pPr>
      <w:r>
        <w:rPr>
          <w:b/>
          <w:bCs/>
        </w:rPr>
        <w:t xml:space="preserve">Proposal </w:t>
      </w:r>
      <w:r w:rsidR="00B00C66">
        <w:rPr>
          <w:b/>
          <w:bCs/>
        </w:rPr>
        <w:t>9</w:t>
      </w:r>
      <w:r>
        <w:rPr>
          <w:b/>
          <w:bCs/>
        </w:rPr>
        <w:t>: CG for SDT is configured on initial BWP.</w:t>
      </w:r>
    </w:p>
    <w:p w14:paraId="5FF2457F" w14:textId="11A84A2C" w:rsidR="00A209D6" w:rsidRPr="006E13D1" w:rsidRDefault="00A209D6" w:rsidP="00A209D6">
      <w:pPr>
        <w:pStyle w:val="Heading1"/>
      </w:pPr>
      <w:r>
        <w:t>4</w:t>
      </w:r>
      <w:r>
        <w:tab/>
      </w:r>
      <w:r w:rsidR="008C3057">
        <w:t>Conclusion</w:t>
      </w:r>
    </w:p>
    <w:p w14:paraId="0E0938A8" w14:textId="5DF6E8C3" w:rsidR="52C5BBC9" w:rsidRDefault="52C5BBC9" w:rsidP="36FD2942">
      <w:pPr>
        <w:rPr>
          <w:color w:val="000000" w:themeColor="text1"/>
          <w:sz w:val="22"/>
          <w:szCs w:val="22"/>
        </w:rPr>
      </w:pPr>
      <w:r w:rsidRPr="36FD2942">
        <w:rPr>
          <w:rFonts w:eastAsia="Times New Roman"/>
          <w:color w:val="000000" w:themeColor="text1"/>
          <w:sz w:val="22"/>
          <w:szCs w:val="22"/>
        </w:rPr>
        <w:t>The following proposals have been made:</w:t>
      </w:r>
    </w:p>
    <w:p w14:paraId="10D084FE" w14:textId="77777777" w:rsidR="00FD2452" w:rsidRPr="00E93A54" w:rsidRDefault="00FD2452" w:rsidP="00FD2452">
      <w:pPr>
        <w:jc w:val="both"/>
        <w:rPr>
          <w:b/>
          <w:bCs/>
        </w:rPr>
      </w:pPr>
      <w:r w:rsidRPr="00E93A54">
        <w:rPr>
          <w:b/>
          <w:bCs/>
        </w:rPr>
        <w:t xml:space="preserve">Proposal </w:t>
      </w:r>
      <w:r>
        <w:rPr>
          <w:b/>
          <w:bCs/>
        </w:rPr>
        <w:t>1</w:t>
      </w:r>
      <w:r w:rsidRPr="00E93A54">
        <w:rPr>
          <w:b/>
          <w:bCs/>
        </w:rPr>
        <w:t xml:space="preserve">: The UE should be allowed to request to the </w:t>
      </w:r>
      <w:r>
        <w:rPr>
          <w:b/>
          <w:bCs/>
        </w:rPr>
        <w:t>Network</w:t>
      </w:r>
      <w:r w:rsidRPr="00E93A54">
        <w:rPr>
          <w:b/>
          <w:bCs/>
        </w:rPr>
        <w:t xml:space="preserve"> for a pre-configured PUSCH based SDT resource</w:t>
      </w:r>
      <w:r>
        <w:rPr>
          <w:b/>
          <w:bCs/>
        </w:rPr>
        <w:t>/configuration.</w:t>
      </w:r>
    </w:p>
    <w:p w14:paraId="2A55A8C8" w14:textId="77777777" w:rsidR="00FD2452" w:rsidRPr="00A56F55" w:rsidRDefault="00FD2452" w:rsidP="00FD2452">
      <w:pPr>
        <w:jc w:val="both"/>
        <w:rPr>
          <w:b/>
          <w:bCs/>
        </w:rPr>
      </w:pPr>
      <w:r w:rsidRPr="00A56F55">
        <w:rPr>
          <w:b/>
          <w:bCs/>
        </w:rPr>
        <w:t xml:space="preserve">Proposal </w:t>
      </w:r>
      <w:r>
        <w:rPr>
          <w:b/>
          <w:bCs/>
        </w:rPr>
        <w:t>2</w:t>
      </w:r>
      <w:r w:rsidRPr="00A56F55">
        <w:rPr>
          <w:b/>
          <w:bCs/>
        </w:rPr>
        <w:t xml:space="preserve">: </w:t>
      </w:r>
      <w:r>
        <w:rPr>
          <w:b/>
          <w:bCs/>
        </w:rPr>
        <w:t xml:space="preserve">Specify </w:t>
      </w:r>
      <w:r w:rsidRPr="00A56F55">
        <w:rPr>
          <w:b/>
          <w:bCs/>
        </w:rPr>
        <w:t>signalling mechanisms that allow the UE to indicate to the Network its preferences in regard to the time occurrence of pre-configured PUSCH based SDT.</w:t>
      </w:r>
    </w:p>
    <w:p w14:paraId="23ADB3A5" w14:textId="77777777" w:rsidR="00FD2452" w:rsidRDefault="00FD2452" w:rsidP="00FD2452">
      <w:pPr>
        <w:jc w:val="both"/>
        <w:rPr>
          <w:b/>
          <w:bCs/>
        </w:rPr>
      </w:pPr>
      <w:r w:rsidRPr="00E93A54">
        <w:rPr>
          <w:b/>
          <w:bCs/>
        </w:rPr>
        <w:lastRenderedPageBreak/>
        <w:t xml:space="preserve">Proposal </w:t>
      </w:r>
      <w:r>
        <w:rPr>
          <w:b/>
          <w:bCs/>
        </w:rPr>
        <w:t>3</w:t>
      </w:r>
      <w:r w:rsidRPr="00E93A54">
        <w:rPr>
          <w:b/>
          <w:bCs/>
        </w:rPr>
        <w:t xml:space="preserve">: </w:t>
      </w:r>
      <w:r>
        <w:rPr>
          <w:b/>
          <w:bCs/>
        </w:rPr>
        <w:t xml:space="preserve">It should be possible to indicate or reconfigure </w:t>
      </w:r>
      <w:r w:rsidRPr="00E93A54">
        <w:rPr>
          <w:b/>
          <w:bCs/>
        </w:rPr>
        <w:t xml:space="preserve">the pre-configured PUSCH based SDT resource configuration </w:t>
      </w:r>
      <w:r>
        <w:rPr>
          <w:b/>
          <w:bCs/>
        </w:rPr>
        <w:t>with both,</w:t>
      </w:r>
      <w:r w:rsidRPr="00E93A54">
        <w:rPr>
          <w:b/>
          <w:bCs/>
        </w:rPr>
        <w:t xml:space="preserve"> dedicated and broadcast signalling. </w:t>
      </w:r>
    </w:p>
    <w:p w14:paraId="53D939A1" w14:textId="77777777" w:rsidR="00FD2452" w:rsidRDefault="00FD2452" w:rsidP="00FD2452">
      <w:pPr>
        <w:rPr>
          <w:b/>
          <w:bCs/>
        </w:rPr>
      </w:pPr>
      <w:r w:rsidRPr="00346C4B">
        <w:rPr>
          <w:b/>
          <w:bCs/>
        </w:rPr>
        <w:t xml:space="preserve">Proposal </w:t>
      </w:r>
      <w:r>
        <w:rPr>
          <w:b/>
          <w:bCs/>
        </w:rPr>
        <w:t>4</w:t>
      </w:r>
      <w:r w:rsidRPr="00346C4B">
        <w:rPr>
          <w:b/>
          <w:bCs/>
        </w:rPr>
        <w:t xml:space="preserve">: </w:t>
      </w:r>
      <w:r>
        <w:rPr>
          <w:b/>
          <w:bCs/>
        </w:rPr>
        <w:t xml:space="preserve">It should be possible for the NW </w:t>
      </w:r>
      <w:r w:rsidRPr="00346C4B">
        <w:rPr>
          <w:b/>
          <w:bCs/>
        </w:rPr>
        <w:t>to release</w:t>
      </w:r>
      <w:r>
        <w:rPr>
          <w:b/>
          <w:bCs/>
        </w:rPr>
        <w:t>/suspend the usage</w:t>
      </w:r>
      <w:r w:rsidRPr="00346C4B">
        <w:rPr>
          <w:b/>
          <w:bCs/>
        </w:rPr>
        <w:t xml:space="preserve"> of pre-configured PUSCH resources </w:t>
      </w:r>
      <w:r>
        <w:rPr>
          <w:b/>
          <w:bCs/>
        </w:rPr>
        <w:t>efficiently</w:t>
      </w:r>
      <w:r w:rsidRPr="00346C4B">
        <w:rPr>
          <w:b/>
          <w:bCs/>
        </w:rPr>
        <w:t>.</w:t>
      </w:r>
    </w:p>
    <w:p w14:paraId="2FBD0165" w14:textId="77777777" w:rsidR="00FD2452" w:rsidRPr="00B16448" w:rsidRDefault="00FD2452" w:rsidP="00FD2452">
      <w:pPr>
        <w:spacing w:before="240"/>
        <w:jc w:val="both"/>
      </w:pPr>
      <w:r w:rsidRPr="00E2169B">
        <w:rPr>
          <w:b/>
          <w:bCs/>
        </w:rPr>
        <w:t xml:space="preserve">Proposal </w:t>
      </w:r>
      <w:r>
        <w:rPr>
          <w:b/>
          <w:bCs/>
        </w:rPr>
        <w:t>5</w:t>
      </w:r>
      <w:r w:rsidRPr="00E2169B">
        <w:rPr>
          <w:b/>
          <w:bCs/>
        </w:rPr>
        <w:t xml:space="preserve">: </w:t>
      </w:r>
      <w:r>
        <w:rPr>
          <w:b/>
          <w:bCs/>
        </w:rPr>
        <w:t>It should be possible to configure multiple SSBs associated to a CG configuration.</w:t>
      </w:r>
    </w:p>
    <w:p w14:paraId="60449C3F" w14:textId="6C575473" w:rsidR="00A209D6" w:rsidRPr="00FD2452" w:rsidRDefault="00FD2452" w:rsidP="00FD2452">
      <w:pPr>
        <w:spacing w:before="240"/>
        <w:jc w:val="both"/>
        <w:rPr>
          <w:b/>
          <w:bCs/>
        </w:rPr>
      </w:pPr>
      <w:r w:rsidRPr="00FD2452">
        <w:rPr>
          <w:b/>
          <w:bCs/>
        </w:rPr>
        <w:t>Proposal 6: Different CG occasions in a CG configuration are mapped to different SSBs.</w:t>
      </w:r>
    </w:p>
    <w:p w14:paraId="48678F59" w14:textId="77777777" w:rsidR="00FD2452" w:rsidRDefault="00FD2452" w:rsidP="00FD2452">
      <w:pPr>
        <w:spacing w:after="240"/>
        <w:jc w:val="both"/>
        <w:rPr>
          <w:b/>
          <w:bCs/>
        </w:rPr>
      </w:pPr>
      <w:r w:rsidRPr="678DA5FF">
        <w:rPr>
          <w:b/>
          <w:bCs/>
        </w:rPr>
        <w:t xml:space="preserve">Proposal </w:t>
      </w:r>
      <w:r>
        <w:rPr>
          <w:b/>
          <w:bCs/>
        </w:rPr>
        <w:t>7</w:t>
      </w:r>
      <w:r w:rsidRPr="678DA5FF">
        <w:rPr>
          <w:b/>
          <w:bCs/>
        </w:rPr>
        <w:t>: RAN 1 should be asked to study TA validation mechanisms that can make TA validation robust in multi-beam scenarios.</w:t>
      </w:r>
    </w:p>
    <w:p w14:paraId="5850C15C" w14:textId="4A08B720" w:rsidR="00FD2452" w:rsidRPr="006A1743" w:rsidRDefault="00FD2452" w:rsidP="00FD2452">
      <w:pPr>
        <w:jc w:val="both"/>
        <w:rPr>
          <w:b/>
          <w:bCs/>
        </w:rPr>
      </w:pPr>
      <w:r w:rsidRPr="36FD2942">
        <w:rPr>
          <w:b/>
          <w:bCs/>
        </w:rPr>
        <w:t xml:space="preserve">Proposal 8: </w:t>
      </w:r>
      <w:r w:rsidR="005C69C2" w:rsidRPr="36FD2942">
        <w:rPr>
          <w:b/>
          <w:bCs/>
        </w:rPr>
        <w:t>O</w:t>
      </w:r>
      <w:r w:rsidRPr="36FD2942">
        <w:rPr>
          <w:b/>
          <w:bCs/>
        </w:rPr>
        <w:t>nly one RNTI is configured for CG-SDT.</w:t>
      </w:r>
    </w:p>
    <w:p w14:paraId="5CCF1C87" w14:textId="77777777" w:rsidR="00FD2452" w:rsidRPr="00C25B8F" w:rsidRDefault="00FD2452" w:rsidP="00FD2452">
      <w:pPr>
        <w:jc w:val="both"/>
      </w:pPr>
      <w:r>
        <w:rPr>
          <w:b/>
          <w:bCs/>
        </w:rPr>
        <w:t>Proposal 9: CG for SDT is configured on initial BWP.</w:t>
      </w:r>
    </w:p>
    <w:p w14:paraId="256E29FD" w14:textId="77777777" w:rsidR="00FD2452" w:rsidRPr="006E13D1" w:rsidRDefault="00FD2452" w:rsidP="00A209D6"/>
    <w:p w14:paraId="700607BB" w14:textId="77777777" w:rsidR="005B1DED" w:rsidRPr="00C02267" w:rsidRDefault="005B1DED" w:rsidP="005B1DED">
      <w:pPr>
        <w:pStyle w:val="Heading1"/>
        <w:jc w:val="both"/>
        <w:rPr>
          <w:lang w:val="en-US"/>
        </w:rPr>
      </w:pPr>
      <w:r w:rsidRPr="00C02267">
        <w:rPr>
          <w:lang w:val="en-US"/>
        </w:rPr>
        <w:t>References</w:t>
      </w:r>
    </w:p>
    <w:p w14:paraId="1AE091E9" w14:textId="7EBCC122" w:rsidR="008E6474" w:rsidRDefault="00EA5278" w:rsidP="005B1DED">
      <w:pPr>
        <w:numPr>
          <w:ilvl w:val="0"/>
          <w:numId w:val="9"/>
        </w:numPr>
        <w:overflowPunct w:val="0"/>
        <w:autoSpaceDE w:val="0"/>
        <w:autoSpaceDN w:val="0"/>
        <w:adjustRightInd w:val="0"/>
        <w:jc w:val="both"/>
        <w:textAlignment w:val="baseline"/>
      </w:pPr>
      <w:r>
        <w:fldChar w:fldCharType="begin"/>
      </w:r>
      <w:r>
        <w:instrText xml:space="preserve"> HYPERLINK "https://www.3gpp.org/ftp/TSG_RAN/WG2_RL2/TSGR2_112-e/Docs/R2-2010704.zip" </w:instrText>
      </w:r>
      <w:r>
        <w:fldChar w:fldCharType="separate"/>
      </w:r>
      <w:r w:rsidR="005E00F9" w:rsidRPr="00EA5278">
        <w:rPr>
          <w:rStyle w:val="Hyperlink"/>
        </w:rPr>
        <w:t>R2-2010704</w:t>
      </w:r>
      <w:r>
        <w:fldChar w:fldCharType="end"/>
      </w:r>
      <w:r w:rsidR="005E00F9">
        <w:t xml:space="preserve">, </w:t>
      </w:r>
      <w:r w:rsidR="00BC1ADC" w:rsidRPr="001859D4">
        <w:rPr>
          <w:i/>
          <w:iCs/>
        </w:rPr>
        <w:t xml:space="preserve">Report for Rel-16 (NR-U, Power Savings and 2-step RACH) and </w:t>
      </w:r>
      <w:proofErr w:type="spellStart"/>
      <w:r w:rsidR="00BC1ADC" w:rsidRPr="001859D4">
        <w:rPr>
          <w:i/>
          <w:iCs/>
        </w:rPr>
        <w:t>IIoT</w:t>
      </w:r>
      <w:proofErr w:type="spellEnd"/>
      <w:r w:rsidR="00BC1ADC" w:rsidRPr="001859D4">
        <w:rPr>
          <w:i/>
          <w:iCs/>
        </w:rPr>
        <w:t xml:space="preserve"> and Small Dat</w:t>
      </w:r>
      <w:r w:rsidR="00BC1ADC" w:rsidRPr="001859D4">
        <w:rPr>
          <w:i/>
          <w:iCs/>
        </w:rPr>
        <w:t>a</w:t>
      </w:r>
      <w:r w:rsidR="00BC1ADC">
        <w:t xml:space="preserve">, </w:t>
      </w:r>
      <w:r w:rsidR="001859D4">
        <w:t>Session Chair (</w:t>
      </w:r>
      <w:proofErr w:type="spellStart"/>
      <w:r w:rsidR="001859D4">
        <w:t>InterDigital</w:t>
      </w:r>
      <w:proofErr w:type="spellEnd"/>
      <w:r w:rsidR="001859D4">
        <w:t>)</w:t>
      </w:r>
    </w:p>
    <w:p w14:paraId="27DDAFB1" w14:textId="7E8508B1" w:rsidR="00407D33" w:rsidRPr="00407D33" w:rsidRDefault="00745674" w:rsidP="005B1DED">
      <w:pPr>
        <w:numPr>
          <w:ilvl w:val="0"/>
          <w:numId w:val="9"/>
        </w:numPr>
        <w:overflowPunct w:val="0"/>
        <w:autoSpaceDE w:val="0"/>
        <w:autoSpaceDN w:val="0"/>
        <w:adjustRightInd w:val="0"/>
        <w:jc w:val="both"/>
        <w:textAlignment w:val="baseline"/>
        <w:rPr>
          <w:rStyle w:val="Hyperlink"/>
          <w:color w:val="auto"/>
          <w:u w:val="none"/>
        </w:rPr>
      </w:pPr>
      <w:hyperlink r:id="rId12" w:history="1">
        <w:r w:rsidR="001859D4" w:rsidRPr="00745674">
          <w:rPr>
            <w:rStyle w:val="Hyperlink"/>
          </w:rPr>
          <w:t>R2-21xxxxx</w:t>
        </w:r>
      </w:hyperlink>
      <w:r w:rsidR="001859D4">
        <w:t xml:space="preserve">, </w:t>
      </w:r>
      <w:r w:rsidR="00407D33" w:rsidRPr="00B82B2C">
        <w:t>[Post112-e][</w:t>
      </w:r>
      <w:proofErr w:type="gramStart"/>
      <w:r w:rsidR="00407D33" w:rsidRPr="00B82B2C">
        <w:t>550][</w:t>
      </w:r>
      <w:proofErr w:type="gramEnd"/>
      <w:r w:rsidR="00407D33" w:rsidRPr="00B82B2C">
        <w:t>SDT] Further details of CG aspects (Le</w:t>
      </w:r>
      <w:r w:rsidR="00407D33" w:rsidRPr="00B82B2C">
        <w:t>n</w:t>
      </w:r>
      <w:r w:rsidR="00407D33" w:rsidRPr="00B82B2C">
        <w:t>ovo)</w:t>
      </w:r>
      <w:r w:rsidR="00407D33" w:rsidRPr="00B82B2C">
        <w:t>,</w:t>
      </w:r>
      <w:r w:rsidR="00B82B2C">
        <w:t xml:space="preserve"> </w:t>
      </w:r>
      <w:r w:rsidR="00B82B2C" w:rsidRPr="00B82B2C">
        <w:t>Lenovo</w:t>
      </w:r>
    </w:p>
    <w:p w14:paraId="2F456EBD" w14:textId="661956B5" w:rsidR="005B1DED" w:rsidRDefault="007A3CF7" w:rsidP="005B1DED">
      <w:pPr>
        <w:numPr>
          <w:ilvl w:val="0"/>
          <w:numId w:val="9"/>
        </w:numPr>
        <w:overflowPunct w:val="0"/>
        <w:autoSpaceDE w:val="0"/>
        <w:autoSpaceDN w:val="0"/>
        <w:adjustRightInd w:val="0"/>
        <w:jc w:val="both"/>
        <w:textAlignment w:val="baseline"/>
      </w:pPr>
      <w:r>
        <w:t xml:space="preserve">3GPP </w:t>
      </w:r>
      <w:r w:rsidR="005B1DED">
        <w:t xml:space="preserve">TS 36.300, </w:t>
      </w:r>
      <w:r w:rsidR="005B1DED" w:rsidRPr="007A3CF7">
        <w:rPr>
          <w:i/>
          <w:iCs/>
        </w:rPr>
        <w:t>Evolved Universal Terrestrial Radio Access (E-UTRA) and Evolved Universal Terrestrial Radio Access Network (E-UTRAN); Overall description; Stage 2</w:t>
      </w:r>
    </w:p>
    <w:p w14:paraId="35F222F4" w14:textId="5292D12A" w:rsidR="00080512" w:rsidRPr="00A209D6" w:rsidRDefault="007A3CF7" w:rsidP="00A209D6">
      <w:pPr>
        <w:numPr>
          <w:ilvl w:val="0"/>
          <w:numId w:val="9"/>
        </w:numPr>
        <w:overflowPunct w:val="0"/>
        <w:autoSpaceDE w:val="0"/>
        <w:autoSpaceDN w:val="0"/>
        <w:adjustRightInd w:val="0"/>
        <w:jc w:val="both"/>
        <w:textAlignment w:val="baseline"/>
      </w:pPr>
      <w:r>
        <w:t xml:space="preserve">3GPP </w:t>
      </w:r>
      <w:r w:rsidR="005B1DED">
        <w:t xml:space="preserve">TS 36.331, </w:t>
      </w:r>
      <w:r w:rsidR="005B1DED" w:rsidRPr="007A3CF7">
        <w:rPr>
          <w:i/>
          <w:iCs/>
        </w:rPr>
        <w:t>Evolved Universal Terrestrial Radio Access (E-UTRA); Radio Resource Control (RRC); Protocol specification</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F1DEC" w14:textId="77777777" w:rsidR="00D668AA" w:rsidRDefault="00D668AA">
      <w:r>
        <w:separator/>
      </w:r>
    </w:p>
  </w:endnote>
  <w:endnote w:type="continuationSeparator" w:id="0">
    <w:p w14:paraId="2A859D28" w14:textId="77777777" w:rsidR="00D668AA" w:rsidRDefault="00D668AA">
      <w:r>
        <w:continuationSeparator/>
      </w:r>
    </w:p>
  </w:endnote>
  <w:endnote w:type="continuationNotice" w:id="1">
    <w:p w14:paraId="67986DE6" w14:textId="77777777" w:rsidR="00D668AA" w:rsidRDefault="00D66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C98E3" w14:textId="77777777" w:rsidR="00D668AA" w:rsidRDefault="00D668AA">
      <w:r>
        <w:separator/>
      </w:r>
    </w:p>
  </w:footnote>
  <w:footnote w:type="continuationSeparator" w:id="0">
    <w:p w14:paraId="4AD5A015" w14:textId="77777777" w:rsidR="00D668AA" w:rsidRDefault="00D668AA">
      <w:r>
        <w:continuationSeparator/>
      </w:r>
    </w:p>
  </w:footnote>
  <w:footnote w:type="continuationNotice" w:id="1">
    <w:p w14:paraId="2680E8D7" w14:textId="77777777" w:rsidR="00D668AA" w:rsidRDefault="00D668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B52C43"/>
    <w:multiLevelType w:val="hybridMultilevel"/>
    <w:tmpl w:val="6750E50A"/>
    <w:lvl w:ilvl="0" w:tplc="3E24412C">
      <w:start w:val="1"/>
      <w:numFmt w:val="bullet"/>
      <w:lvlText w:val=""/>
      <w:lvlJc w:val="left"/>
      <w:pPr>
        <w:ind w:left="720" w:hanging="360"/>
      </w:pPr>
      <w:rPr>
        <w:rFonts w:ascii="Symbol" w:hAnsi="Symbol" w:hint="default"/>
      </w:rPr>
    </w:lvl>
    <w:lvl w:ilvl="1" w:tplc="BE2C3746">
      <w:start w:val="1"/>
      <w:numFmt w:val="bullet"/>
      <w:lvlText w:val="o"/>
      <w:lvlJc w:val="left"/>
      <w:pPr>
        <w:ind w:left="1440" w:hanging="360"/>
      </w:pPr>
      <w:rPr>
        <w:rFonts w:ascii="Courier New" w:hAnsi="Courier New" w:hint="default"/>
      </w:rPr>
    </w:lvl>
    <w:lvl w:ilvl="2" w:tplc="D870F7F0">
      <w:start w:val="1"/>
      <w:numFmt w:val="bullet"/>
      <w:lvlText w:val=""/>
      <w:lvlJc w:val="left"/>
      <w:pPr>
        <w:ind w:left="2160" w:hanging="360"/>
      </w:pPr>
      <w:rPr>
        <w:rFonts w:ascii="Wingdings" w:hAnsi="Wingdings" w:hint="default"/>
      </w:rPr>
    </w:lvl>
    <w:lvl w:ilvl="3" w:tplc="4F5E41AA">
      <w:start w:val="1"/>
      <w:numFmt w:val="bullet"/>
      <w:lvlText w:val=""/>
      <w:lvlJc w:val="left"/>
      <w:pPr>
        <w:ind w:left="2880" w:hanging="360"/>
      </w:pPr>
      <w:rPr>
        <w:rFonts w:ascii="Symbol" w:hAnsi="Symbol" w:hint="default"/>
      </w:rPr>
    </w:lvl>
    <w:lvl w:ilvl="4" w:tplc="8D0EF9EA">
      <w:start w:val="1"/>
      <w:numFmt w:val="bullet"/>
      <w:lvlText w:val="o"/>
      <w:lvlJc w:val="left"/>
      <w:pPr>
        <w:ind w:left="3600" w:hanging="360"/>
      </w:pPr>
      <w:rPr>
        <w:rFonts w:ascii="Courier New" w:hAnsi="Courier New" w:hint="default"/>
      </w:rPr>
    </w:lvl>
    <w:lvl w:ilvl="5" w:tplc="1652CC1C">
      <w:start w:val="1"/>
      <w:numFmt w:val="bullet"/>
      <w:lvlText w:val=""/>
      <w:lvlJc w:val="left"/>
      <w:pPr>
        <w:ind w:left="4320" w:hanging="360"/>
      </w:pPr>
      <w:rPr>
        <w:rFonts w:ascii="Wingdings" w:hAnsi="Wingdings" w:hint="default"/>
      </w:rPr>
    </w:lvl>
    <w:lvl w:ilvl="6" w:tplc="DD48B824">
      <w:start w:val="1"/>
      <w:numFmt w:val="bullet"/>
      <w:lvlText w:val=""/>
      <w:lvlJc w:val="left"/>
      <w:pPr>
        <w:ind w:left="5040" w:hanging="360"/>
      </w:pPr>
      <w:rPr>
        <w:rFonts w:ascii="Symbol" w:hAnsi="Symbol" w:hint="default"/>
      </w:rPr>
    </w:lvl>
    <w:lvl w:ilvl="7" w:tplc="BE44C2EA">
      <w:start w:val="1"/>
      <w:numFmt w:val="bullet"/>
      <w:lvlText w:val="o"/>
      <w:lvlJc w:val="left"/>
      <w:pPr>
        <w:ind w:left="5760" w:hanging="360"/>
      </w:pPr>
      <w:rPr>
        <w:rFonts w:ascii="Courier New" w:hAnsi="Courier New" w:hint="default"/>
      </w:rPr>
    </w:lvl>
    <w:lvl w:ilvl="8" w:tplc="04FC971E">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48B65DC"/>
    <w:multiLevelType w:val="hybridMultilevel"/>
    <w:tmpl w:val="648B65DC"/>
    <w:lvl w:ilvl="0" w:tplc="3F923B3A">
      <w:numFmt w:val="bullet"/>
      <w:lvlText w:val="-"/>
      <w:lvlJc w:val="left"/>
      <w:pPr>
        <w:ind w:left="360" w:hanging="360"/>
      </w:pPr>
      <w:rPr>
        <w:rFonts w:ascii="Calibri" w:eastAsia="Calibri" w:hAnsi="Calibri" w:cs="Calibri" w:hint="default"/>
      </w:rPr>
    </w:lvl>
    <w:lvl w:ilvl="1" w:tplc="944829CE">
      <w:start w:val="1"/>
      <w:numFmt w:val="bullet"/>
      <w:lvlText w:val="o"/>
      <w:lvlJc w:val="left"/>
      <w:pPr>
        <w:ind w:left="1080" w:hanging="360"/>
      </w:pPr>
      <w:rPr>
        <w:rFonts w:ascii="Courier New" w:hAnsi="Courier New" w:cs="Courier New" w:hint="default"/>
      </w:rPr>
    </w:lvl>
    <w:lvl w:ilvl="2" w:tplc="06A68E6A">
      <w:start w:val="1"/>
      <w:numFmt w:val="bullet"/>
      <w:lvlText w:val=""/>
      <w:lvlJc w:val="left"/>
      <w:pPr>
        <w:ind w:left="1800" w:hanging="360"/>
      </w:pPr>
      <w:rPr>
        <w:rFonts w:ascii="Wingdings" w:hAnsi="Wingdings" w:hint="default"/>
      </w:rPr>
    </w:lvl>
    <w:lvl w:ilvl="3" w:tplc="FB9897E6">
      <w:start w:val="1"/>
      <w:numFmt w:val="bullet"/>
      <w:lvlText w:val=""/>
      <w:lvlJc w:val="left"/>
      <w:pPr>
        <w:ind w:left="2520" w:hanging="360"/>
      </w:pPr>
      <w:rPr>
        <w:rFonts w:ascii="Symbol" w:hAnsi="Symbol" w:hint="default"/>
      </w:rPr>
    </w:lvl>
    <w:lvl w:ilvl="4" w:tplc="EE48F2A4">
      <w:start w:val="1"/>
      <w:numFmt w:val="bullet"/>
      <w:lvlText w:val="o"/>
      <w:lvlJc w:val="left"/>
      <w:pPr>
        <w:ind w:left="3240" w:hanging="360"/>
      </w:pPr>
      <w:rPr>
        <w:rFonts w:ascii="Courier New" w:hAnsi="Courier New" w:cs="Courier New" w:hint="default"/>
      </w:rPr>
    </w:lvl>
    <w:lvl w:ilvl="5" w:tplc="3F20FA2A">
      <w:start w:val="1"/>
      <w:numFmt w:val="bullet"/>
      <w:lvlText w:val=""/>
      <w:lvlJc w:val="left"/>
      <w:pPr>
        <w:ind w:left="3960" w:hanging="360"/>
      </w:pPr>
      <w:rPr>
        <w:rFonts w:ascii="Wingdings" w:hAnsi="Wingdings" w:hint="default"/>
      </w:rPr>
    </w:lvl>
    <w:lvl w:ilvl="6" w:tplc="BA30532E">
      <w:start w:val="1"/>
      <w:numFmt w:val="bullet"/>
      <w:lvlText w:val=""/>
      <w:lvlJc w:val="left"/>
      <w:pPr>
        <w:ind w:left="4680" w:hanging="360"/>
      </w:pPr>
      <w:rPr>
        <w:rFonts w:ascii="Symbol" w:hAnsi="Symbol" w:hint="default"/>
      </w:rPr>
    </w:lvl>
    <w:lvl w:ilvl="7" w:tplc="75549168">
      <w:start w:val="1"/>
      <w:numFmt w:val="bullet"/>
      <w:lvlText w:val="o"/>
      <w:lvlJc w:val="left"/>
      <w:pPr>
        <w:ind w:left="5400" w:hanging="360"/>
      </w:pPr>
      <w:rPr>
        <w:rFonts w:ascii="Courier New" w:hAnsi="Courier New" w:cs="Courier New" w:hint="default"/>
      </w:rPr>
    </w:lvl>
    <w:lvl w:ilvl="8" w:tplc="C59228BE">
      <w:start w:val="1"/>
      <w:numFmt w:val="bullet"/>
      <w:lvlText w:val=""/>
      <w:lvlJc w:val="left"/>
      <w:pPr>
        <w:ind w:left="6120" w:hanging="360"/>
      </w:pPr>
      <w:rPr>
        <w:rFonts w:ascii="Wingdings" w:hAnsi="Wingdings" w:hint="default"/>
      </w:rPr>
    </w:lvl>
  </w:abstractNum>
  <w:abstractNum w:abstractNumId="8"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ED"/>
    <w:rsid w:val="0000520C"/>
    <w:rsid w:val="00005CAF"/>
    <w:rsid w:val="00010E68"/>
    <w:rsid w:val="00016557"/>
    <w:rsid w:val="00021C50"/>
    <w:rsid w:val="00023C40"/>
    <w:rsid w:val="00033397"/>
    <w:rsid w:val="00040095"/>
    <w:rsid w:val="000568B0"/>
    <w:rsid w:val="00073C9C"/>
    <w:rsid w:val="00080512"/>
    <w:rsid w:val="00081091"/>
    <w:rsid w:val="000816DF"/>
    <w:rsid w:val="00090468"/>
    <w:rsid w:val="00094568"/>
    <w:rsid w:val="0009472C"/>
    <w:rsid w:val="000A237D"/>
    <w:rsid w:val="000B7BCF"/>
    <w:rsid w:val="000C522B"/>
    <w:rsid w:val="000D58AB"/>
    <w:rsid w:val="001049E4"/>
    <w:rsid w:val="00112F1A"/>
    <w:rsid w:val="00124D93"/>
    <w:rsid w:val="00145075"/>
    <w:rsid w:val="0017154F"/>
    <w:rsid w:val="001741A0"/>
    <w:rsid w:val="00175FA0"/>
    <w:rsid w:val="00185920"/>
    <w:rsid w:val="00185978"/>
    <w:rsid w:val="001859D4"/>
    <w:rsid w:val="00194CD0"/>
    <w:rsid w:val="001B49C9"/>
    <w:rsid w:val="001C23F4"/>
    <w:rsid w:val="001C4F79"/>
    <w:rsid w:val="001F168B"/>
    <w:rsid w:val="001F7831"/>
    <w:rsid w:val="00204045"/>
    <w:rsid w:val="0020712B"/>
    <w:rsid w:val="0022606D"/>
    <w:rsid w:val="002304CD"/>
    <w:rsid w:val="00230EE3"/>
    <w:rsid w:val="00231325"/>
    <w:rsid w:val="00231728"/>
    <w:rsid w:val="0024115F"/>
    <w:rsid w:val="00244A05"/>
    <w:rsid w:val="00250404"/>
    <w:rsid w:val="002610D8"/>
    <w:rsid w:val="00267151"/>
    <w:rsid w:val="002747EC"/>
    <w:rsid w:val="002855BF"/>
    <w:rsid w:val="00286116"/>
    <w:rsid w:val="00294266"/>
    <w:rsid w:val="00295C0F"/>
    <w:rsid w:val="002F0D22"/>
    <w:rsid w:val="002F6F76"/>
    <w:rsid w:val="00311B17"/>
    <w:rsid w:val="003172DC"/>
    <w:rsid w:val="0032590F"/>
    <w:rsid w:val="00325AE3"/>
    <w:rsid w:val="00326069"/>
    <w:rsid w:val="003427AC"/>
    <w:rsid w:val="003456DE"/>
    <w:rsid w:val="0035462D"/>
    <w:rsid w:val="0036459E"/>
    <w:rsid w:val="00364B41"/>
    <w:rsid w:val="003751B9"/>
    <w:rsid w:val="00383096"/>
    <w:rsid w:val="0039346C"/>
    <w:rsid w:val="003A41EF"/>
    <w:rsid w:val="003A7DAA"/>
    <w:rsid w:val="003B276E"/>
    <w:rsid w:val="003B40AD"/>
    <w:rsid w:val="003B6584"/>
    <w:rsid w:val="003B7FE3"/>
    <w:rsid w:val="003C4E37"/>
    <w:rsid w:val="003E16BE"/>
    <w:rsid w:val="003F4E28"/>
    <w:rsid w:val="004006E8"/>
    <w:rsid w:val="00401855"/>
    <w:rsid w:val="00403D42"/>
    <w:rsid w:val="00407D33"/>
    <w:rsid w:val="004138AF"/>
    <w:rsid w:val="0043070A"/>
    <w:rsid w:val="0044399B"/>
    <w:rsid w:val="004509DD"/>
    <w:rsid w:val="004639A3"/>
    <w:rsid w:val="00465587"/>
    <w:rsid w:val="00477455"/>
    <w:rsid w:val="004A1F7B"/>
    <w:rsid w:val="004A6D67"/>
    <w:rsid w:val="004B4C34"/>
    <w:rsid w:val="004C2E97"/>
    <w:rsid w:val="004C44D2"/>
    <w:rsid w:val="004D3578"/>
    <w:rsid w:val="004D380D"/>
    <w:rsid w:val="004E00FF"/>
    <w:rsid w:val="004E213A"/>
    <w:rsid w:val="004F3E6A"/>
    <w:rsid w:val="004F4540"/>
    <w:rsid w:val="004F73A7"/>
    <w:rsid w:val="00503171"/>
    <w:rsid w:val="00506C28"/>
    <w:rsid w:val="00520D3B"/>
    <w:rsid w:val="00534DA0"/>
    <w:rsid w:val="005358D5"/>
    <w:rsid w:val="00535F1A"/>
    <w:rsid w:val="00543E6C"/>
    <w:rsid w:val="00561BCD"/>
    <w:rsid w:val="00565087"/>
    <w:rsid w:val="0056573F"/>
    <w:rsid w:val="00571279"/>
    <w:rsid w:val="005762BB"/>
    <w:rsid w:val="005849C8"/>
    <w:rsid w:val="00584A3E"/>
    <w:rsid w:val="005928C6"/>
    <w:rsid w:val="0059660F"/>
    <w:rsid w:val="005A49C6"/>
    <w:rsid w:val="005B1DED"/>
    <w:rsid w:val="005C69C2"/>
    <w:rsid w:val="005C7F76"/>
    <w:rsid w:val="005D0E81"/>
    <w:rsid w:val="005D7918"/>
    <w:rsid w:val="005E00F9"/>
    <w:rsid w:val="005E4AC9"/>
    <w:rsid w:val="00611566"/>
    <w:rsid w:val="00613382"/>
    <w:rsid w:val="006146C4"/>
    <w:rsid w:val="00616CE4"/>
    <w:rsid w:val="00646D99"/>
    <w:rsid w:val="00653B68"/>
    <w:rsid w:val="00656910"/>
    <w:rsid w:val="006574C0"/>
    <w:rsid w:val="00670D1A"/>
    <w:rsid w:val="00673001"/>
    <w:rsid w:val="0068066F"/>
    <w:rsid w:val="00696821"/>
    <w:rsid w:val="00697107"/>
    <w:rsid w:val="006A1743"/>
    <w:rsid w:val="006B1BCA"/>
    <w:rsid w:val="006C66D8"/>
    <w:rsid w:val="006C68AA"/>
    <w:rsid w:val="006D1E24"/>
    <w:rsid w:val="006D35DE"/>
    <w:rsid w:val="006E1417"/>
    <w:rsid w:val="006F450E"/>
    <w:rsid w:val="006F67AE"/>
    <w:rsid w:val="006F6A2C"/>
    <w:rsid w:val="0070004C"/>
    <w:rsid w:val="007069DC"/>
    <w:rsid w:val="00707C74"/>
    <w:rsid w:val="00710201"/>
    <w:rsid w:val="007134BA"/>
    <w:rsid w:val="007155B0"/>
    <w:rsid w:val="00720645"/>
    <w:rsid w:val="0072073A"/>
    <w:rsid w:val="007342B5"/>
    <w:rsid w:val="00734A5B"/>
    <w:rsid w:val="00744E76"/>
    <w:rsid w:val="00745674"/>
    <w:rsid w:val="00757D40"/>
    <w:rsid w:val="00761336"/>
    <w:rsid w:val="007662B5"/>
    <w:rsid w:val="007702F5"/>
    <w:rsid w:val="00775653"/>
    <w:rsid w:val="00775A5A"/>
    <w:rsid w:val="007810D7"/>
    <w:rsid w:val="00781F0F"/>
    <w:rsid w:val="00784FE2"/>
    <w:rsid w:val="0078727C"/>
    <w:rsid w:val="0079049D"/>
    <w:rsid w:val="00793DC5"/>
    <w:rsid w:val="00796823"/>
    <w:rsid w:val="007A2E55"/>
    <w:rsid w:val="007A3CF7"/>
    <w:rsid w:val="007A42BE"/>
    <w:rsid w:val="007B14B6"/>
    <w:rsid w:val="007B18D8"/>
    <w:rsid w:val="007C095F"/>
    <w:rsid w:val="007C2DD0"/>
    <w:rsid w:val="007C639B"/>
    <w:rsid w:val="007C65DE"/>
    <w:rsid w:val="007F2E08"/>
    <w:rsid w:val="008028A4"/>
    <w:rsid w:val="008043E6"/>
    <w:rsid w:val="00813245"/>
    <w:rsid w:val="008173EA"/>
    <w:rsid w:val="00840DE0"/>
    <w:rsid w:val="00851A96"/>
    <w:rsid w:val="008607A8"/>
    <w:rsid w:val="0086354A"/>
    <w:rsid w:val="008732B4"/>
    <w:rsid w:val="008768CA"/>
    <w:rsid w:val="00877EF9"/>
    <w:rsid w:val="00880559"/>
    <w:rsid w:val="008813FD"/>
    <w:rsid w:val="008919EF"/>
    <w:rsid w:val="008B5306"/>
    <w:rsid w:val="008C2E2A"/>
    <w:rsid w:val="008C3057"/>
    <w:rsid w:val="008D2E4D"/>
    <w:rsid w:val="008E015D"/>
    <w:rsid w:val="008E197D"/>
    <w:rsid w:val="008E6474"/>
    <w:rsid w:val="008F1AA6"/>
    <w:rsid w:val="008F396F"/>
    <w:rsid w:val="008F3DCD"/>
    <w:rsid w:val="00901B13"/>
    <w:rsid w:val="0090271F"/>
    <w:rsid w:val="00902DB9"/>
    <w:rsid w:val="00903517"/>
    <w:rsid w:val="0090466A"/>
    <w:rsid w:val="00923655"/>
    <w:rsid w:val="009318A2"/>
    <w:rsid w:val="00936071"/>
    <w:rsid w:val="00936216"/>
    <w:rsid w:val="009376CD"/>
    <w:rsid w:val="00940212"/>
    <w:rsid w:val="00941CE8"/>
    <w:rsid w:val="00942EC2"/>
    <w:rsid w:val="00943C86"/>
    <w:rsid w:val="00950AF1"/>
    <w:rsid w:val="0095369B"/>
    <w:rsid w:val="00961B32"/>
    <w:rsid w:val="00962509"/>
    <w:rsid w:val="00970DB3"/>
    <w:rsid w:val="0097290A"/>
    <w:rsid w:val="00974BB0"/>
    <w:rsid w:val="00975BCD"/>
    <w:rsid w:val="00985440"/>
    <w:rsid w:val="009928A9"/>
    <w:rsid w:val="009A0AF3"/>
    <w:rsid w:val="009B07CD"/>
    <w:rsid w:val="009B4475"/>
    <w:rsid w:val="009C19E9"/>
    <w:rsid w:val="009C7557"/>
    <w:rsid w:val="009D4EE9"/>
    <w:rsid w:val="009D681D"/>
    <w:rsid w:val="009D74A6"/>
    <w:rsid w:val="009E0E87"/>
    <w:rsid w:val="00A10F02"/>
    <w:rsid w:val="00A204CA"/>
    <w:rsid w:val="00A209D6"/>
    <w:rsid w:val="00A22738"/>
    <w:rsid w:val="00A23FC3"/>
    <w:rsid w:val="00A411C7"/>
    <w:rsid w:val="00A430EC"/>
    <w:rsid w:val="00A43C7E"/>
    <w:rsid w:val="00A50367"/>
    <w:rsid w:val="00A53724"/>
    <w:rsid w:val="00A54B2B"/>
    <w:rsid w:val="00A60AFA"/>
    <w:rsid w:val="00A70D53"/>
    <w:rsid w:val="00A76DDC"/>
    <w:rsid w:val="00A82346"/>
    <w:rsid w:val="00A82CFD"/>
    <w:rsid w:val="00A8368A"/>
    <w:rsid w:val="00A869FC"/>
    <w:rsid w:val="00A872A9"/>
    <w:rsid w:val="00A9671C"/>
    <w:rsid w:val="00AA1553"/>
    <w:rsid w:val="00AB2E0D"/>
    <w:rsid w:val="00AD3D5A"/>
    <w:rsid w:val="00AD7A77"/>
    <w:rsid w:val="00AE12C8"/>
    <w:rsid w:val="00AF533E"/>
    <w:rsid w:val="00AF6740"/>
    <w:rsid w:val="00B00C66"/>
    <w:rsid w:val="00B05380"/>
    <w:rsid w:val="00B05962"/>
    <w:rsid w:val="00B15449"/>
    <w:rsid w:val="00B16448"/>
    <w:rsid w:val="00B16C2F"/>
    <w:rsid w:val="00B27303"/>
    <w:rsid w:val="00B3084A"/>
    <w:rsid w:val="00B30897"/>
    <w:rsid w:val="00B40920"/>
    <w:rsid w:val="00B47FD1"/>
    <w:rsid w:val="00B516BB"/>
    <w:rsid w:val="00B7538C"/>
    <w:rsid w:val="00B82B2C"/>
    <w:rsid w:val="00B84DB2"/>
    <w:rsid w:val="00B917CC"/>
    <w:rsid w:val="00BA1204"/>
    <w:rsid w:val="00BC1ADC"/>
    <w:rsid w:val="00BC3555"/>
    <w:rsid w:val="00BC3B58"/>
    <w:rsid w:val="00BC7B37"/>
    <w:rsid w:val="00BD7E56"/>
    <w:rsid w:val="00BE4251"/>
    <w:rsid w:val="00BE65E0"/>
    <w:rsid w:val="00C12B51"/>
    <w:rsid w:val="00C2140A"/>
    <w:rsid w:val="00C21FED"/>
    <w:rsid w:val="00C24650"/>
    <w:rsid w:val="00C25465"/>
    <w:rsid w:val="00C25B8F"/>
    <w:rsid w:val="00C33079"/>
    <w:rsid w:val="00C36C6A"/>
    <w:rsid w:val="00C45FCC"/>
    <w:rsid w:val="00C55A12"/>
    <w:rsid w:val="00C61A9E"/>
    <w:rsid w:val="00C6553E"/>
    <w:rsid w:val="00C83A13"/>
    <w:rsid w:val="00C86F10"/>
    <w:rsid w:val="00C9068C"/>
    <w:rsid w:val="00C921D7"/>
    <w:rsid w:val="00C92967"/>
    <w:rsid w:val="00CA1951"/>
    <w:rsid w:val="00CA3D0C"/>
    <w:rsid w:val="00CA654B"/>
    <w:rsid w:val="00CB382A"/>
    <w:rsid w:val="00CB3EC3"/>
    <w:rsid w:val="00CB4169"/>
    <w:rsid w:val="00CB72B8"/>
    <w:rsid w:val="00CC2B29"/>
    <w:rsid w:val="00CC5D8C"/>
    <w:rsid w:val="00CD0BA8"/>
    <w:rsid w:val="00CD4C7B"/>
    <w:rsid w:val="00CD58FE"/>
    <w:rsid w:val="00CE471A"/>
    <w:rsid w:val="00D33BE3"/>
    <w:rsid w:val="00D35C23"/>
    <w:rsid w:val="00D3792D"/>
    <w:rsid w:val="00D55E47"/>
    <w:rsid w:val="00D573EE"/>
    <w:rsid w:val="00D62E19"/>
    <w:rsid w:val="00D668AA"/>
    <w:rsid w:val="00D671CE"/>
    <w:rsid w:val="00D67CD1"/>
    <w:rsid w:val="00D738D6"/>
    <w:rsid w:val="00D74F9B"/>
    <w:rsid w:val="00D775F9"/>
    <w:rsid w:val="00D80795"/>
    <w:rsid w:val="00D854BE"/>
    <w:rsid w:val="00D859C2"/>
    <w:rsid w:val="00D864A8"/>
    <w:rsid w:val="00D87E00"/>
    <w:rsid w:val="00D9134D"/>
    <w:rsid w:val="00D96D11"/>
    <w:rsid w:val="00DA0353"/>
    <w:rsid w:val="00DA1B52"/>
    <w:rsid w:val="00DA40B7"/>
    <w:rsid w:val="00DA7A03"/>
    <w:rsid w:val="00DA7C1B"/>
    <w:rsid w:val="00DB0DB8"/>
    <w:rsid w:val="00DB1818"/>
    <w:rsid w:val="00DB3F37"/>
    <w:rsid w:val="00DC309B"/>
    <w:rsid w:val="00DC4DA2"/>
    <w:rsid w:val="00DC5261"/>
    <w:rsid w:val="00DC5A95"/>
    <w:rsid w:val="00DD593B"/>
    <w:rsid w:val="00DD74D6"/>
    <w:rsid w:val="00DE25D2"/>
    <w:rsid w:val="00E137EB"/>
    <w:rsid w:val="00E2169B"/>
    <w:rsid w:val="00E35E0D"/>
    <w:rsid w:val="00E36DF0"/>
    <w:rsid w:val="00E4643F"/>
    <w:rsid w:val="00E46C08"/>
    <w:rsid w:val="00E471CF"/>
    <w:rsid w:val="00E555F5"/>
    <w:rsid w:val="00E62835"/>
    <w:rsid w:val="00E71778"/>
    <w:rsid w:val="00E71C41"/>
    <w:rsid w:val="00E77645"/>
    <w:rsid w:val="00E83697"/>
    <w:rsid w:val="00E859B6"/>
    <w:rsid w:val="00E8637A"/>
    <w:rsid w:val="00E94CC2"/>
    <w:rsid w:val="00EA5278"/>
    <w:rsid w:val="00EA66C9"/>
    <w:rsid w:val="00EB615D"/>
    <w:rsid w:val="00EB6B3D"/>
    <w:rsid w:val="00EC2DB4"/>
    <w:rsid w:val="00EC470F"/>
    <w:rsid w:val="00EC4A25"/>
    <w:rsid w:val="00EF612C"/>
    <w:rsid w:val="00F025A2"/>
    <w:rsid w:val="00F036E9"/>
    <w:rsid w:val="00F07388"/>
    <w:rsid w:val="00F20253"/>
    <w:rsid w:val="00F2026E"/>
    <w:rsid w:val="00F2210A"/>
    <w:rsid w:val="00F31372"/>
    <w:rsid w:val="00F3191B"/>
    <w:rsid w:val="00F32AF5"/>
    <w:rsid w:val="00F37743"/>
    <w:rsid w:val="00F54A3D"/>
    <w:rsid w:val="00F54CB0"/>
    <w:rsid w:val="00F579CD"/>
    <w:rsid w:val="00F61B17"/>
    <w:rsid w:val="00F64513"/>
    <w:rsid w:val="00F653B8"/>
    <w:rsid w:val="00F71B89"/>
    <w:rsid w:val="00F7353C"/>
    <w:rsid w:val="00F75382"/>
    <w:rsid w:val="00F76F8F"/>
    <w:rsid w:val="00F85F14"/>
    <w:rsid w:val="00F941DF"/>
    <w:rsid w:val="00FA1266"/>
    <w:rsid w:val="00FA2778"/>
    <w:rsid w:val="00FA33D8"/>
    <w:rsid w:val="00FB36FA"/>
    <w:rsid w:val="00FB4BE1"/>
    <w:rsid w:val="00FB7A0C"/>
    <w:rsid w:val="00FC1192"/>
    <w:rsid w:val="00FC1671"/>
    <w:rsid w:val="00FC2226"/>
    <w:rsid w:val="00FD2452"/>
    <w:rsid w:val="00FE0945"/>
    <w:rsid w:val="00FE106D"/>
    <w:rsid w:val="00FE251B"/>
    <w:rsid w:val="01B7056D"/>
    <w:rsid w:val="01C5E783"/>
    <w:rsid w:val="034D3B00"/>
    <w:rsid w:val="08FAAF6C"/>
    <w:rsid w:val="0A9DC556"/>
    <w:rsid w:val="0AFF151F"/>
    <w:rsid w:val="0C5AAC30"/>
    <w:rsid w:val="0DEA18E2"/>
    <w:rsid w:val="10A999A6"/>
    <w:rsid w:val="11164787"/>
    <w:rsid w:val="12DFEA98"/>
    <w:rsid w:val="15977D67"/>
    <w:rsid w:val="15C1E09B"/>
    <w:rsid w:val="1605ED4D"/>
    <w:rsid w:val="17F48508"/>
    <w:rsid w:val="1925E767"/>
    <w:rsid w:val="1AF06CCC"/>
    <w:rsid w:val="1B1D266F"/>
    <w:rsid w:val="1DE0302D"/>
    <w:rsid w:val="20798505"/>
    <w:rsid w:val="22B3A150"/>
    <w:rsid w:val="230C04E7"/>
    <w:rsid w:val="23639C44"/>
    <w:rsid w:val="24CB4BE6"/>
    <w:rsid w:val="24D8F024"/>
    <w:rsid w:val="266DD514"/>
    <w:rsid w:val="28C08BDA"/>
    <w:rsid w:val="28E7209F"/>
    <w:rsid w:val="29B70384"/>
    <w:rsid w:val="2F970D75"/>
    <w:rsid w:val="300ACC9B"/>
    <w:rsid w:val="33BD99B0"/>
    <w:rsid w:val="35DEA7B9"/>
    <w:rsid w:val="367A146A"/>
    <w:rsid w:val="36FD2942"/>
    <w:rsid w:val="384A8C1F"/>
    <w:rsid w:val="394099D2"/>
    <w:rsid w:val="3A9CA769"/>
    <w:rsid w:val="3C0C5196"/>
    <w:rsid w:val="3C3530EB"/>
    <w:rsid w:val="3EDA40BA"/>
    <w:rsid w:val="3EE1C0D2"/>
    <w:rsid w:val="426DBFE2"/>
    <w:rsid w:val="45290F27"/>
    <w:rsid w:val="4683537B"/>
    <w:rsid w:val="46C6F872"/>
    <w:rsid w:val="482B9DA3"/>
    <w:rsid w:val="49499744"/>
    <w:rsid w:val="4AC684F3"/>
    <w:rsid w:val="4B637136"/>
    <w:rsid w:val="4C92AE43"/>
    <w:rsid w:val="4D50C261"/>
    <w:rsid w:val="4E6CCF5B"/>
    <w:rsid w:val="4F85BEC0"/>
    <w:rsid w:val="511CCE3D"/>
    <w:rsid w:val="51C0D934"/>
    <w:rsid w:val="52C5BBC9"/>
    <w:rsid w:val="52F14876"/>
    <w:rsid w:val="545D51DA"/>
    <w:rsid w:val="576ED6EB"/>
    <w:rsid w:val="5C53FCC5"/>
    <w:rsid w:val="5D02F719"/>
    <w:rsid w:val="5EC614E1"/>
    <w:rsid w:val="5F77B63F"/>
    <w:rsid w:val="5FB21A08"/>
    <w:rsid w:val="60C60DC8"/>
    <w:rsid w:val="644C195A"/>
    <w:rsid w:val="64D8B2C9"/>
    <w:rsid w:val="678DA5FF"/>
    <w:rsid w:val="680FC71A"/>
    <w:rsid w:val="68D6F77D"/>
    <w:rsid w:val="68EC34DE"/>
    <w:rsid w:val="6949F892"/>
    <w:rsid w:val="69B46AF5"/>
    <w:rsid w:val="69B88494"/>
    <w:rsid w:val="69D9C3ED"/>
    <w:rsid w:val="6B0357A1"/>
    <w:rsid w:val="6C79815D"/>
    <w:rsid w:val="6F203064"/>
    <w:rsid w:val="710E345C"/>
    <w:rsid w:val="737BCC99"/>
    <w:rsid w:val="747D1FFA"/>
    <w:rsid w:val="74AC8DFE"/>
    <w:rsid w:val="76471C4A"/>
    <w:rsid w:val="768334DB"/>
    <w:rsid w:val="78E52329"/>
    <w:rsid w:val="79774D06"/>
    <w:rsid w:val="79DA80B5"/>
    <w:rsid w:val="7A508427"/>
    <w:rsid w:val="7B22853F"/>
    <w:rsid w:val="7C039C89"/>
    <w:rsid w:val="7EB2C0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CACA9540-EB95-4851-91BF-D08AFED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D24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5B1DED"/>
    <w:pPr>
      <w:ind w:left="720"/>
      <w:contextualSpacing/>
    </w:pPr>
  </w:style>
  <w:style w:type="table" w:styleId="TableGrid">
    <w:name w:val="Table Grid"/>
    <w:basedOn w:val="TableNormal"/>
    <w:rsid w:val="005B1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B1DED"/>
    <w:rPr>
      <w:lang w:eastAsia="en-US"/>
    </w:rPr>
  </w:style>
  <w:style w:type="character" w:customStyle="1" w:styleId="Heading1Char">
    <w:name w:val="Heading 1 Char"/>
    <w:basedOn w:val="DefaultParagraphFont"/>
    <w:link w:val="Heading1"/>
    <w:rsid w:val="005B1DED"/>
    <w:rPr>
      <w:rFonts w:ascii="Arial" w:hAnsi="Arial"/>
      <w:sz w:val="36"/>
      <w:lang w:eastAsia="en-US"/>
    </w:rPr>
  </w:style>
  <w:style w:type="character" w:styleId="CommentReference">
    <w:name w:val="annotation reference"/>
    <w:basedOn w:val="DefaultParagraphFont"/>
    <w:rsid w:val="005B1DED"/>
    <w:rPr>
      <w:sz w:val="16"/>
      <w:szCs w:val="16"/>
    </w:rPr>
  </w:style>
  <w:style w:type="paragraph" w:styleId="CommentText">
    <w:name w:val="annotation text"/>
    <w:basedOn w:val="Normal"/>
    <w:link w:val="CommentTextChar"/>
    <w:rsid w:val="005B1DED"/>
  </w:style>
  <w:style w:type="character" w:customStyle="1" w:styleId="CommentTextChar">
    <w:name w:val="Comment Text Char"/>
    <w:basedOn w:val="DefaultParagraphFont"/>
    <w:link w:val="CommentText"/>
    <w:rsid w:val="005B1DED"/>
    <w:rPr>
      <w:lang w:eastAsia="en-US"/>
    </w:rPr>
  </w:style>
  <w:style w:type="paragraph" w:styleId="CommentSubject">
    <w:name w:val="annotation subject"/>
    <w:basedOn w:val="CommentText"/>
    <w:next w:val="CommentText"/>
    <w:link w:val="CommentSubjectChar"/>
    <w:rsid w:val="005B1DED"/>
    <w:rPr>
      <w:b/>
      <w:bCs/>
    </w:rPr>
  </w:style>
  <w:style w:type="character" w:customStyle="1" w:styleId="CommentSubjectChar">
    <w:name w:val="Comment Subject Char"/>
    <w:basedOn w:val="CommentTextChar"/>
    <w:link w:val="CommentSubject"/>
    <w:rsid w:val="005B1DED"/>
    <w:rPr>
      <w:b/>
      <w:bCs/>
      <w:lang w:eastAsia="en-US"/>
    </w:rPr>
  </w:style>
  <w:style w:type="paragraph" w:customStyle="1" w:styleId="Comments">
    <w:name w:val="Comments"/>
    <w:basedOn w:val="Normal"/>
    <w:link w:val="CommentsChar"/>
    <w:qFormat/>
    <w:rsid w:val="005B1DE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B1DED"/>
    <w:rPr>
      <w:rFonts w:ascii="Arial" w:eastAsia="MS Mincho" w:hAnsi="Arial"/>
      <w:i/>
      <w:noProof/>
      <w:sz w:val="18"/>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5B1DED"/>
    <w:pPr>
      <w:spacing w:after="200"/>
    </w:pPr>
    <w:rPr>
      <w:i/>
      <w:iCs/>
      <w:color w:val="44546A" w:themeColor="text2"/>
      <w:sz w:val="18"/>
      <w:szCs w:val="18"/>
    </w:rPr>
  </w:style>
  <w:style w:type="character" w:customStyle="1" w:styleId="Heading2Char">
    <w:name w:val="Heading 2 Char"/>
    <w:basedOn w:val="DefaultParagraphFont"/>
    <w:link w:val="Heading2"/>
    <w:rsid w:val="00561BCD"/>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AF6740"/>
    <w:rPr>
      <w:i/>
      <w:iCs/>
      <w:color w:val="44546A" w:themeColor="text2"/>
      <w:sz w:val="18"/>
      <w:szCs w:val="18"/>
      <w:lang w:eastAsia="en-US"/>
    </w:rPr>
  </w:style>
  <w:style w:type="paragraph" w:customStyle="1" w:styleId="Doc-text2">
    <w:name w:val="Doc-text2"/>
    <w:basedOn w:val="Normal"/>
    <w:link w:val="Doc-text2Char"/>
    <w:qFormat/>
    <w:rsid w:val="00A76D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76DDC"/>
    <w:rPr>
      <w:rFonts w:ascii="Arial" w:eastAsia="MS Mincho" w:hAnsi="Arial"/>
      <w:szCs w:val="24"/>
    </w:rPr>
  </w:style>
  <w:style w:type="paragraph" w:styleId="Revision">
    <w:name w:val="Revision"/>
    <w:hidden/>
    <w:uiPriority w:val="99"/>
    <w:semiHidden/>
    <w:rsid w:val="00670D1A"/>
    <w:rPr>
      <w:lang w:eastAsia="en-US"/>
    </w:rPr>
  </w:style>
  <w:style w:type="character" w:styleId="FollowedHyperlink">
    <w:name w:val="FollowedHyperlink"/>
    <w:basedOn w:val="DefaultParagraphFont"/>
    <w:rsid w:val="00407D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Email_Discussions/RAN2/%5BRAN2%23112-e%5D/%5BPost112-e%5D%5B550%5D%5BSDT%5D%20Further%20details%20of%20CG%20aspects%20(Lenov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5AIRPNAIUNRU-859666464-8038</_dlc_DocId>
    <_dlc_DocIdUrl xmlns="71c5aaf6-e6ce-465b-b873-5148d2a4c105">
      <Url>https://nokia.sharepoint.com/sites/c5g/e2earch/_layouts/15/DocIdRedir.aspx?ID=5AIRPNAIUNRU-859666464-8038</Url>
      <Description>5AIRPNAIUNRU-859666464-8038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http://purl.org/dc/elements/1.1/"/>
    <ds:schemaRef ds:uri="http://purl.org/dc/terms/"/>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2093</Words>
  <Characters>11041</Characters>
  <Application>Microsoft Office Word</Application>
  <DocSecurity>0</DocSecurity>
  <Lines>92</Lines>
  <Paragraphs>26</Paragraphs>
  <ScaleCrop>false</ScaleCrop>
  <Manager/>
  <Company>Nokia</Company>
  <LinksUpToDate>false</LinksUpToDate>
  <CharactersWithSpaces>13108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Chunli2</cp:lastModifiedBy>
  <cp:revision>2</cp:revision>
  <dcterms:created xsi:type="dcterms:W3CDTF">2021-01-15T01:11:00Z</dcterms:created>
  <dcterms:modified xsi:type="dcterms:W3CDTF">2021-01-15T01:11:00Z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0cd3e76d-9d7b-4df9-b9a0-4142bdd52dbc</vt:lpwstr>
  </property>
</Properties>
</file>